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6C" w:rsidRPr="003851B2" w:rsidRDefault="00233E49" w:rsidP="00224E6C">
      <w:pPr>
        <w:jc w:val="center"/>
        <w:rPr>
          <w:rFonts w:asciiTheme="majorBidi" w:hAnsiTheme="majorBidi" w:cstheme="majorBidi"/>
          <w:sz w:val="48"/>
          <w:szCs w:val="48"/>
        </w:rPr>
      </w:pPr>
      <w:r w:rsidRPr="003851B2">
        <w:rPr>
          <w:rFonts w:asciiTheme="majorBidi" w:hAnsiTheme="majorBidi" w:cstheme="majorBidi"/>
          <w:sz w:val="48"/>
          <w:szCs w:val="48"/>
        </w:rPr>
        <w:t xml:space="preserve">Teneur en </w:t>
      </w:r>
      <w:r w:rsidR="00030706">
        <w:rPr>
          <w:rFonts w:asciiTheme="majorBidi" w:hAnsiTheme="majorBidi" w:cstheme="majorBidi"/>
          <w:sz w:val="48"/>
          <w:szCs w:val="48"/>
        </w:rPr>
        <w:t>P</w:t>
      </w:r>
      <w:r w:rsidR="00224E6C" w:rsidRPr="003851B2">
        <w:rPr>
          <w:rFonts w:asciiTheme="majorBidi" w:hAnsiTheme="majorBidi" w:cstheme="majorBidi"/>
          <w:sz w:val="48"/>
          <w:szCs w:val="48"/>
        </w:rPr>
        <w:t xml:space="preserve">olyphénols </w:t>
      </w:r>
      <w:r w:rsidR="00030706">
        <w:rPr>
          <w:rFonts w:asciiTheme="majorBidi" w:hAnsiTheme="majorBidi" w:cstheme="majorBidi"/>
          <w:sz w:val="48"/>
          <w:szCs w:val="48"/>
        </w:rPr>
        <w:t>et Activité A</w:t>
      </w:r>
      <w:r w:rsidRPr="003851B2">
        <w:rPr>
          <w:rFonts w:asciiTheme="majorBidi" w:hAnsiTheme="majorBidi" w:cstheme="majorBidi"/>
          <w:sz w:val="48"/>
          <w:szCs w:val="48"/>
        </w:rPr>
        <w:t>ntio</w:t>
      </w:r>
      <w:r w:rsidR="00030706">
        <w:rPr>
          <w:rFonts w:asciiTheme="majorBidi" w:hAnsiTheme="majorBidi" w:cstheme="majorBidi"/>
          <w:sz w:val="48"/>
          <w:szCs w:val="48"/>
        </w:rPr>
        <w:t>xydante des Huiles E</w:t>
      </w:r>
      <w:r w:rsidR="003851B2" w:rsidRPr="003851B2">
        <w:rPr>
          <w:rFonts w:asciiTheme="majorBidi" w:hAnsiTheme="majorBidi" w:cstheme="majorBidi"/>
          <w:sz w:val="48"/>
          <w:szCs w:val="48"/>
        </w:rPr>
        <w:t>ssentielles</w:t>
      </w:r>
      <w:r w:rsidR="00030706">
        <w:rPr>
          <w:rFonts w:asciiTheme="majorBidi" w:hAnsiTheme="majorBidi" w:cstheme="majorBidi"/>
          <w:sz w:val="48"/>
          <w:szCs w:val="48"/>
        </w:rPr>
        <w:t>, H</w:t>
      </w:r>
      <w:r w:rsidRPr="003851B2">
        <w:rPr>
          <w:rFonts w:asciiTheme="majorBidi" w:hAnsiTheme="majorBidi" w:cstheme="majorBidi"/>
          <w:sz w:val="48"/>
          <w:szCs w:val="48"/>
        </w:rPr>
        <w:t>ydrolat</w:t>
      </w:r>
      <w:r w:rsidR="00270DC4" w:rsidRPr="003851B2">
        <w:rPr>
          <w:rFonts w:asciiTheme="majorBidi" w:hAnsiTheme="majorBidi" w:cstheme="majorBidi"/>
          <w:sz w:val="48"/>
          <w:szCs w:val="48"/>
        </w:rPr>
        <w:t>s</w:t>
      </w:r>
      <w:r w:rsidR="00030706">
        <w:rPr>
          <w:rFonts w:asciiTheme="majorBidi" w:hAnsiTheme="majorBidi" w:cstheme="majorBidi"/>
          <w:sz w:val="48"/>
          <w:szCs w:val="48"/>
        </w:rPr>
        <w:t xml:space="preserve"> et E</w:t>
      </w:r>
      <w:r w:rsidR="003851B2" w:rsidRPr="003851B2">
        <w:rPr>
          <w:rFonts w:asciiTheme="majorBidi" w:hAnsiTheme="majorBidi" w:cstheme="majorBidi"/>
          <w:sz w:val="48"/>
          <w:szCs w:val="48"/>
        </w:rPr>
        <w:t>xtraits</w:t>
      </w:r>
      <w:r w:rsidR="00030706">
        <w:rPr>
          <w:rFonts w:asciiTheme="majorBidi" w:hAnsiTheme="majorBidi" w:cstheme="majorBidi"/>
          <w:sz w:val="48"/>
          <w:szCs w:val="48"/>
        </w:rPr>
        <w:t xml:space="preserve"> des F</w:t>
      </w:r>
      <w:r w:rsidR="00224E6C" w:rsidRPr="003851B2">
        <w:rPr>
          <w:rFonts w:asciiTheme="majorBidi" w:hAnsiTheme="majorBidi" w:cstheme="majorBidi"/>
          <w:sz w:val="48"/>
          <w:szCs w:val="48"/>
        </w:rPr>
        <w:t>euilles de l’</w:t>
      </w:r>
      <w:r w:rsidR="00224E6C" w:rsidRPr="003851B2">
        <w:rPr>
          <w:rFonts w:asciiTheme="majorBidi" w:hAnsiTheme="majorBidi" w:cstheme="majorBidi"/>
          <w:i/>
          <w:sz w:val="48"/>
          <w:szCs w:val="48"/>
        </w:rPr>
        <w:t>Inulaviscosa</w:t>
      </w:r>
      <w:r w:rsidR="00224E6C" w:rsidRPr="003851B2">
        <w:rPr>
          <w:rFonts w:asciiTheme="majorBidi" w:hAnsiTheme="majorBidi" w:cstheme="majorBidi"/>
          <w:sz w:val="48"/>
          <w:szCs w:val="48"/>
        </w:rPr>
        <w:t xml:space="preserve"> (L.) Aiton  d’Algérie</w:t>
      </w:r>
    </w:p>
    <w:p w:rsidR="00224E6C" w:rsidRPr="003851B2" w:rsidRDefault="00233E49" w:rsidP="00FA146E">
      <w:pPr>
        <w:spacing w:before="150" w:after="60"/>
        <w:jc w:val="center"/>
        <w:rPr>
          <w:rFonts w:asciiTheme="majorBidi" w:hAnsiTheme="majorBidi" w:cstheme="majorBidi"/>
          <w:bCs/>
        </w:rPr>
      </w:pPr>
      <w:r w:rsidRPr="003851B2">
        <w:rPr>
          <w:rFonts w:asciiTheme="majorBidi" w:hAnsiTheme="majorBidi" w:cstheme="majorBidi"/>
          <w:bCs/>
        </w:rPr>
        <w:t>Ratiba DERRICHE</w:t>
      </w:r>
      <w:r w:rsidR="003851B2">
        <w:rPr>
          <w:rFonts w:asciiTheme="majorBidi" w:hAnsiTheme="majorBidi" w:cstheme="majorBidi"/>
          <w:bCs/>
          <w:vertAlign w:val="superscript"/>
        </w:rPr>
        <w:t>1</w:t>
      </w:r>
      <w:r w:rsidR="008F797D">
        <w:rPr>
          <w:rFonts w:asciiTheme="majorBidi" w:hAnsiTheme="majorBidi" w:cstheme="majorBidi"/>
          <w:bCs/>
        </w:rPr>
        <w:t>, Saida</w:t>
      </w:r>
      <w:r w:rsidRPr="003851B2">
        <w:rPr>
          <w:rFonts w:asciiTheme="majorBidi" w:hAnsiTheme="majorBidi" w:cstheme="majorBidi"/>
          <w:bCs/>
        </w:rPr>
        <w:t xml:space="preserve"> MESSAOUDI, Naima LAHOUAZI et Sarah AMROUCHE</w:t>
      </w:r>
    </w:p>
    <w:p w:rsidR="00270DC4" w:rsidRPr="003851B2" w:rsidRDefault="00270DC4" w:rsidP="00224E6C">
      <w:pPr>
        <w:pStyle w:val="Titre6"/>
        <w:jc w:val="center"/>
        <w:rPr>
          <w:i/>
          <w:sz w:val="20"/>
        </w:rPr>
      </w:pPr>
      <w:r w:rsidRPr="003851B2">
        <w:rPr>
          <w:i/>
          <w:sz w:val="20"/>
        </w:rPr>
        <w:t>Ecole Nationale Polytechnique, Laboratoire de valorisation des énergies fossiles</w:t>
      </w:r>
    </w:p>
    <w:p w:rsidR="00224E6C" w:rsidRPr="009407F6" w:rsidRDefault="00224E6C" w:rsidP="00224E6C">
      <w:pPr>
        <w:pStyle w:val="Titre6"/>
        <w:jc w:val="center"/>
        <w:rPr>
          <w:i/>
          <w:sz w:val="20"/>
          <w:lang w:val="en-US"/>
        </w:rPr>
      </w:pPr>
      <w:r w:rsidRPr="009407F6">
        <w:rPr>
          <w:i/>
          <w:sz w:val="20"/>
          <w:lang w:val="en-US"/>
        </w:rPr>
        <w:t>10 Avenue Hassen BADI  BP182 El-Harrach  16200 Alger Algérie</w:t>
      </w:r>
    </w:p>
    <w:p w:rsidR="00841279" w:rsidRPr="009407F6" w:rsidRDefault="003851B2" w:rsidP="00405473">
      <w:pPr>
        <w:jc w:val="center"/>
        <w:rPr>
          <w:rFonts w:ascii="Courier New" w:hAnsi="Courier New" w:cs="Courier New"/>
          <w:bCs/>
          <w:sz w:val="18"/>
          <w:szCs w:val="18"/>
          <w:lang w:val="en-US"/>
        </w:rPr>
      </w:pPr>
      <w:r w:rsidRPr="009407F6">
        <w:rPr>
          <w:rFonts w:ascii="Courier New" w:hAnsi="Courier New" w:cs="Courier New"/>
          <w:bCs/>
          <w:sz w:val="18"/>
          <w:szCs w:val="18"/>
          <w:lang w:val="en-US"/>
        </w:rPr>
        <w:t>1</w:t>
      </w:r>
      <w:hyperlink r:id="rId7" w:history="1">
        <w:r w:rsidR="00841279" w:rsidRPr="009407F6">
          <w:rPr>
            <w:rStyle w:val="Lienhypertexte"/>
            <w:rFonts w:ascii="Courier New" w:hAnsi="Courier New" w:cs="Courier New"/>
            <w:bCs/>
            <w:sz w:val="18"/>
            <w:szCs w:val="18"/>
            <w:lang w:val="en-US"/>
          </w:rPr>
          <w:t>ratiba.derriche@g.enp.edu.dz</w:t>
        </w:r>
      </w:hyperlink>
    </w:p>
    <w:p w:rsidR="00405473" w:rsidRPr="009407F6" w:rsidRDefault="00405473" w:rsidP="00405473">
      <w:pPr>
        <w:jc w:val="center"/>
        <w:rPr>
          <w:rFonts w:ascii="Courier New" w:hAnsi="Courier New" w:cs="Courier New"/>
          <w:bCs/>
          <w:sz w:val="18"/>
          <w:szCs w:val="18"/>
          <w:lang w:val="en-US"/>
        </w:rPr>
      </w:pPr>
    </w:p>
    <w:p w:rsidR="00405473" w:rsidRPr="009407F6" w:rsidRDefault="00405473" w:rsidP="00405473">
      <w:pPr>
        <w:jc w:val="center"/>
        <w:rPr>
          <w:rFonts w:ascii="Courier New" w:hAnsi="Courier New" w:cs="Courier New"/>
          <w:bCs/>
          <w:sz w:val="18"/>
          <w:szCs w:val="18"/>
          <w:lang w:val="en-US"/>
        </w:rPr>
        <w:sectPr w:rsidR="00405473" w:rsidRPr="009407F6" w:rsidSect="009407F6">
          <w:headerReference w:type="first" r:id="rId8"/>
          <w:pgSz w:w="12240" w:h="15840" w:code="1"/>
          <w:pgMar w:top="1077" w:right="811" w:bottom="2438" w:left="811" w:header="426" w:footer="709" w:gutter="0"/>
          <w:cols w:space="567"/>
          <w:noEndnote/>
          <w:titlePg/>
          <w:docGrid w:linePitch="326"/>
        </w:sectPr>
      </w:pPr>
    </w:p>
    <w:p w:rsidR="003851B2" w:rsidRDefault="00224E6C" w:rsidP="003851B2">
      <w:pPr>
        <w:contextualSpacing/>
        <w:rPr>
          <w:rFonts w:ascii="Times New Roman" w:hAnsi="Times New Roman" w:cs="Times New Roman"/>
          <w:b/>
          <w:sz w:val="18"/>
          <w:szCs w:val="18"/>
        </w:rPr>
      </w:pPr>
      <w:r w:rsidRPr="008E298D">
        <w:rPr>
          <w:rFonts w:asciiTheme="majorBidi" w:hAnsiTheme="majorBidi" w:cstheme="majorBidi"/>
          <w:b/>
          <w:bCs/>
          <w:i/>
          <w:sz w:val="18"/>
          <w:szCs w:val="18"/>
        </w:rPr>
        <w:lastRenderedPageBreak/>
        <w:t>Résumé </w:t>
      </w:r>
      <w:r w:rsidR="003851B2" w:rsidRPr="008E298D">
        <w:rPr>
          <w:rFonts w:asciiTheme="majorBidi" w:hAnsiTheme="majorBidi" w:cstheme="majorBidi"/>
          <w:b/>
          <w:bCs/>
          <w:i/>
          <w:sz w:val="18"/>
          <w:szCs w:val="18"/>
        </w:rPr>
        <w:t>-</w:t>
      </w:r>
      <w:r w:rsidR="008F797D">
        <w:rPr>
          <w:rFonts w:ascii="Times New Roman" w:hAnsi="Times New Roman" w:cs="Times New Roman"/>
          <w:b/>
          <w:sz w:val="18"/>
          <w:szCs w:val="18"/>
        </w:rPr>
        <w:t>L</w:t>
      </w:r>
      <w:r w:rsidRPr="003851B2">
        <w:rPr>
          <w:rFonts w:ascii="Times New Roman" w:hAnsi="Times New Roman" w:cs="Times New Roman"/>
          <w:b/>
          <w:sz w:val="18"/>
          <w:szCs w:val="18"/>
        </w:rPr>
        <w:t>es huiles e</w:t>
      </w:r>
      <w:r w:rsidR="00466B28" w:rsidRPr="003851B2">
        <w:rPr>
          <w:rFonts w:ascii="Times New Roman" w:hAnsi="Times New Roman" w:cs="Times New Roman"/>
          <w:b/>
          <w:sz w:val="18"/>
          <w:szCs w:val="18"/>
        </w:rPr>
        <w:t>ssentielles</w:t>
      </w:r>
      <w:r w:rsidR="00D535EF" w:rsidRPr="003851B2">
        <w:rPr>
          <w:rFonts w:ascii="Times New Roman" w:hAnsi="Times New Roman" w:cs="Times New Roman"/>
          <w:b/>
          <w:sz w:val="18"/>
          <w:szCs w:val="18"/>
        </w:rPr>
        <w:t xml:space="preserve"> des feuilles d’inule visqueuse</w:t>
      </w:r>
      <w:r w:rsidR="008F797D">
        <w:rPr>
          <w:rFonts w:ascii="Times New Roman" w:hAnsi="Times New Roman" w:cs="Times New Roman"/>
          <w:b/>
          <w:sz w:val="18"/>
          <w:szCs w:val="18"/>
        </w:rPr>
        <w:t>,récupérées soie</w:t>
      </w:r>
      <w:r w:rsidR="00466B28" w:rsidRPr="003851B2">
        <w:rPr>
          <w:rFonts w:ascii="Times New Roman" w:hAnsi="Times New Roman" w:cs="Times New Roman"/>
          <w:b/>
          <w:sz w:val="18"/>
          <w:szCs w:val="18"/>
        </w:rPr>
        <w:t xml:space="preserve">nt </w:t>
      </w:r>
      <w:r w:rsidR="008F797D">
        <w:rPr>
          <w:rFonts w:ascii="Times New Roman" w:hAnsi="Times New Roman" w:cs="Times New Roman"/>
          <w:b/>
          <w:sz w:val="18"/>
          <w:szCs w:val="18"/>
        </w:rPr>
        <w:t xml:space="preserve">par entrainement à la vapeur d’eau, par </w:t>
      </w:r>
      <w:r w:rsidR="008F797D" w:rsidRPr="003851B2">
        <w:rPr>
          <w:rFonts w:ascii="Times New Roman" w:hAnsi="Times New Roman" w:cs="Times New Roman"/>
          <w:b/>
          <w:sz w:val="18"/>
          <w:szCs w:val="18"/>
        </w:rPr>
        <w:t>hydrodistillation</w:t>
      </w:r>
      <w:r w:rsidR="008F797D">
        <w:rPr>
          <w:rFonts w:ascii="Times New Roman" w:hAnsi="Times New Roman" w:cs="Times New Roman"/>
          <w:b/>
          <w:sz w:val="18"/>
          <w:szCs w:val="18"/>
        </w:rPr>
        <w:t xml:space="preserve"> ou pa</w:t>
      </w:r>
      <w:r w:rsidR="004E1D3A">
        <w:rPr>
          <w:rFonts w:ascii="Times New Roman" w:hAnsi="Times New Roman" w:cs="Times New Roman"/>
          <w:b/>
          <w:sz w:val="18"/>
          <w:szCs w:val="18"/>
        </w:rPr>
        <w:t xml:space="preserve">r </w:t>
      </w:r>
      <w:r w:rsidR="008F797D" w:rsidRPr="003851B2">
        <w:rPr>
          <w:rFonts w:ascii="Times New Roman" w:hAnsi="Times New Roman" w:cs="Times New Roman"/>
          <w:b/>
          <w:sz w:val="18"/>
          <w:szCs w:val="18"/>
        </w:rPr>
        <w:t>hydrodiffusion</w:t>
      </w:r>
      <w:r w:rsidR="008F797D">
        <w:rPr>
          <w:rFonts w:ascii="Times New Roman" w:hAnsi="Times New Roman" w:cs="Times New Roman"/>
          <w:b/>
          <w:sz w:val="18"/>
          <w:szCs w:val="18"/>
        </w:rPr>
        <w:t xml:space="preserve">,bien que </w:t>
      </w:r>
      <w:r w:rsidRPr="003851B2">
        <w:rPr>
          <w:rFonts w:ascii="Times New Roman" w:hAnsi="Times New Roman" w:cs="Times New Roman"/>
          <w:b/>
          <w:sz w:val="18"/>
          <w:szCs w:val="18"/>
        </w:rPr>
        <w:t xml:space="preserve"> leur rendement soit faible</w:t>
      </w:r>
      <w:r w:rsidR="004E1D3A">
        <w:rPr>
          <w:rFonts w:ascii="Times New Roman" w:hAnsi="Times New Roman" w:cs="Times New Roman"/>
          <w:b/>
          <w:sz w:val="18"/>
          <w:szCs w:val="18"/>
        </w:rPr>
        <w:t>, ont</w:t>
      </w:r>
      <w:r w:rsidR="00466B28" w:rsidRPr="003851B2">
        <w:rPr>
          <w:rFonts w:ascii="Times New Roman" w:hAnsi="Times New Roman" w:cs="Times New Roman"/>
          <w:b/>
          <w:sz w:val="18"/>
          <w:szCs w:val="18"/>
        </w:rPr>
        <w:t xml:space="preserve"> une activité antioxyda</w:t>
      </w:r>
      <w:r w:rsidR="006C56BD">
        <w:rPr>
          <w:rFonts w:ascii="Times New Roman" w:hAnsi="Times New Roman" w:cs="Times New Roman"/>
          <w:b/>
          <w:sz w:val="18"/>
          <w:szCs w:val="18"/>
        </w:rPr>
        <w:t>nte qui varie de 35% à 87%</w:t>
      </w:r>
      <w:r w:rsidR="00466B28" w:rsidRPr="003851B2">
        <w:rPr>
          <w:rFonts w:ascii="Times New Roman" w:hAnsi="Times New Roman" w:cs="Times New Roman"/>
          <w:b/>
          <w:sz w:val="18"/>
          <w:szCs w:val="18"/>
        </w:rPr>
        <w:t>, de 20% à 30% et atteint 90%</w:t>
      </w:r>
      <w:r w:rsidR="008F797D">
        <w:rPr>
          <w:rFonts w:ascii="Times New Roman" w:hAnsi="Times New Roman" w:cs="Times New Roman"/>
          <w:b/>
          <w:sz w:val="18"/>
          <w:szCs w:val="18"/>
        </w:rPr>
        <w:t>pour les trois procédés respectivement</w:t>
      </w:r>
      <w:r w:rsidR="00466B28" w:rsidRPr="003851B2">
        <w:rPr>
          <w:rFonts w:ascii="Times New Roman" w:hAnsi="Times New Roman" w:cs="Times New Roman"/>
          <w:b/>
          <w:sz w:val="18"/>
          <w:szCs w:val="18"/>
        </w:rPr>
        <w:t>.</w:t>
      </w:r>
    </w:p>
    <w:p w:rsidR="003851B2" w:rsidRPr="008F797D" w:rsidRDefault="00466B28" w:rsidP="003851B2">
      <w:pPr>
        <w:contextualSpacing/>
        <w:rPr>
          <w:rFonts w:ascii="Times New Roman" w:hAnsi="Times New Roman" w:cs="Times New Roman"/>
          <w:b/>
          <w:sz w:val="18"/>
          <w:szCs w:val="18"/>
        </w:rPr>
      </w:pPr>
      <w:r w:rsidRPr="008F797D">
        <w:rPr>
          <w:rFonts w:ascii="Times New Roman" w:hAnsi="Times New Roman" w:cs="Times New Roman"/>
          <w:b/>
          <w:sz w:val="18"/>
          <w:szCs w:val="18"/>
        </w:rPr>
        <w:t>L</w:t>
      </w:r>
      <w:r w:rsidR="008F797D">
        <w:rPr>
          <w:rFonts w:ascii="Times New Roman" w:hAnsi="Times New Roman" w:cs="Times New Roman"/>
          <w:b/>
          <w:sz w:val="18"/>
          <w:szCs w:val="18"/>
        </w:rPr>
        <w:t>eurs</w:t>
      </w:r>
      <w:r w:rsidR="00D535EF" w:rsidRPr="008F797D">
        <w:rPr>
          <w:rFonts w:ascii="Times New Roman" w:hAnsi="Times New Roman" w:cs="Times New Roman"/>
          <w:b/>
          <w:sz w:val="18"/>
          <w:szCs w:val="18"/>
        </w:rPr>
        <w:t xml:space="preserve"> hydrolats </w:t>
      </w:r>
      <w:r w:rsidR="00224E6C" w:rsidRPr="008F797D">
        <w:rPr>
          <w:rFonts w:ascii="Times New Roman" w:hAnsi="Times New Roman" w:cs="Times New Roman"/>
          <w:b/>
          <w:sz w:val="18"/>
          <w:szCs w:val="18"/>
        </w:rPr>
        <w:t>possèdent des activités antioxydantes très intéressa</w:t>
      </w:r>
      <w:r w:rsidRPr="008F797D">
        <w:rPr>
          <w:rFonts w:ascii="Times New Roman" w:hAnsi="Times New Roman" w:cs="Times New Roman"/>
          <w:b/>
          <w:sz w:val="18"/>
          <w:szCs w:val="18"/>
        </w:rPr>
        <w:t>n</w:t>
      </w:r>
      <w:r w:rsidR="00D535EF" w:rsidRPr="008F797D">
        <w:rPr>
          <w:rFonts w:ascii="Times New Roman" w:hAnsi="Times New Roman" w:cs="Times New Roman"/>
          <w:b/>
          <w:sz w:val="18"/>
          <w:szCs w:val="18"/>
        </w:rPr>
        <w:t>tes et</w:t>
      </w:r>
      <w:r w:rsidR="00C01537" w:rsidRPr="008F797D">
        <w:rPr>
          <w:rFonts w:ascii="Times New Roman" w:hAnsi="Times New Roman" w:cs="Times New Roman"/>
          <w:b/>
          <w:sz w:val="18"/>
          <w:szCs w:val="18"/>
        </w:rPr>
        <w:t xml:space="preserve"> sont riches en polyphénols, les teneurs obtenues varient </w:t>
      </w:r>
      <w:r w:rsidR="00233E49" w:rsidRPr="008F797D">
        <w:rPr>
          <w:rFonts w:ascii="Times New Roman" w:hAnsi="Times New Roman" w:cs="Times New Roman"/>
          <w:b/>
          <w:sz w:val="18"/>
          <w:szCs w:val="18"/>
        </w:rPr>
        <w:t xml:space="preserve">de 0,43 à 0,84 mg EAG mg/mL, </w:t>
      </w:r>
      <w:r w:rsidR="00C01537" w:rsidRPr="008F797D">
        <w:rPr>
          <w:rFonts w:ascii="Times New Roman" w:hAnsi="Times New Roman" w:cs="Times New Roman"/>
          <w:b/>
          <w:sz w:val="18"/>
          <w:szCs w:val="18"/>
        </w:rPr>
        <w:t xml:space="preserve">de </w:t>
      </w:r>
      <w:r w:rsidR="00C01537" w:rsidRPr="008F797D">
        <w:rPr>
          <w:rFonts w:ascii="Times New Roman" w:hAnsi="Times New Roman" w:cs="Times New Roman"/>
          <w:b/>
          <w:color w:val="000000"/>
          <w:sz w:val="18"/>
          <w:szCs w:val="18"/>
        </w:rPr>
        <w:t>1,64</w:t>
      </w:r>
      <w:r w:rsidR="00233E49" w:rsidRPr="008F797D">
        <w:rPr>
          <w:rFonts w:ascii="Times New Roman" w:hAnsi="Times New Roman" w:cs="Times New Roman"/>
          <w:b/>
          <w:sz w:val="18"/>
          <w:szCs w:val="18"/>
        </w:rPr>
        <w:t xml:space="preserve"> à 2,99 mg EAG mg/mL</w:t>
      </w:r>
      <w:r w:rsidR="00C01537" w:rsidRPr="008F797D">
        <w:rPr>
          <w:rFonts w:ascii="Times New Roman" w:hAnsi="Times New Roman" w:cs="Times New Roman"/>
          <w:b/>
          <w:sz w:val="18"/>
          <w:szCs w:val="18"/>
        </w:rPr>
        <w:t xml:space="preserve">, </w:t>
      </w:r>
      <w:r w:rsidR="00233E49" w:rsidRPr="008F797D">
        <w:rPr>
          <w:rFonts w:ascii="Times New Roman" w:hAnsi="Times New Roman" w:cs="Times New Roman"/>
          <w:b/>
          <w:sz w:val="18"/>
          <w:szCs w:val="18"/>
        </w:rPr>
        <w:t>et atteint</w:t>
      </w:r>
      <w:r w:rsidR="00C01537" w:rsidRPr="008F797D">
        <w:rPr>
          <w:rFonts w:ascii="Times New Roman" w:hAnsi="Times New Roman" w:cs="Times New Roman"/>
          <w:b/>
          <w:sz w:val="18"/>
          <w:szCs w:val="18"/>
        </w:rPr>
        <w:t xml:space="preserve"> 1,55 mg EAG mg/mL pour </w:t>
      </w:r>
      <w:r w:rsidR="00233E49" w:rsidRPr="008F797D">
        <w:rPr>
          <w:rFonts w:ascii="Times New Roman" w:hAnsi="Times New Roman" w:cs="Times New Roman"/>
          <w:b/>
          <w:sz w:val="18"/>
          <w:szCs w:val="18"/>
        </w:rPr>
        <w:t>les trois procédés cités respectivement</w:t>
      </w:r>
      <w:r w:rsidR="00C01537" w:rsidRPr="008F797D">
        <w:rPr>
          <w:rFonts w:ascii="Times New Roman" w:hAnsi="Times New Roman" w:cs="Times New Roman"/>
          <w:b/>
          <w:sz w:val="18"/>
          <w:szCs w:val="18"/>
        </w:rPr>
        <w:t>.L’activité antioxydante des h</w:t>
      </w:r>
      <w:r w:rsidR="00AB75F3">
        <w:rPr>
          <w:rFonts w:ascii="Times New Roman" w:hAnsi="Times New Roman" w:cs="Times New Roman"/>
          <w:b/>
          <w:sz w:val="18"/>
          <w:szCs w:val="18"/>
        </w:rPr>
        <w:t>ydrolats augmente avec</w:t>
      </w:r>
      <w:r w:rsidR="00C01537" w:rsidRPr="008F797D">
        <w:rPr>
          <w:rFonts w:ascii="Times New Roman" w:hAnsi="Times New Roman" w:cs="Times New Roman"/>
          <w:b/>
          <w:sz w:val="18"/>
          <w:szCs w:val="18"/>
        </w:rPr>
        <w:t xml:space="preserve"> la teneur en polyphénols, elle peut atteindre</w:t>
      </w:r>
      <w:r w:rsidR="004E1D3A">
        <w:rPr>
          <w:rFonts w:ascii="Times New Roman" w:hAnsi="Times New Roman" w:cs="Times New Roman"/>
          <w:b/>
          <w:sz w:val="18"/>
          <w:szCs w:val="18"/>
        </w:rPr>
        <w:t xml:space="preserve"> 85%</w:t>
      </w:r>
      <w:r w:rsidR="00233E49" w:rsidRPr="008F797D">
        <w:rPr>
          <w:rFonts w:ascii="Times New Roman" w:hAnsi="Times New Roman" w:cs="Times New Roman"/>
          <w:b/>
          <w:sz w:val="18"/>
          <w:szCs w:val="18"/>
        </w:rPr>
        <w:t xml:space="preserve"> pour une concentration supérieure à 1 µg EAG/mL, 80% pour une concentration supérieure à</w:t>
      </w:r>
      <w:r w:rsidR="00C01537" w:rsidRPr="008F797D">
        <w:rPr>
          <w:rFonts w:ascii="Times New Roman" w:hAnsi="Times New Roman" w:cs="Times New Roman"/>
          <w:b/>
          <w:sz w:val="18"/>
          <w:szCs w:val="18"/>
        </w:rPr>
        <w:t xml:space="preserve"> 20 µg EAG/mL, </w:t>
      </w:r>
      <w:r w:rsidR="00233E49" w:rsidRPr="008F797D">
        <w:rPr>
          <w:rFonts w:ascii="Times New Roman" w:hAnsi="Times New Roman" w:cs="Times New Roman"/>
          <w:b/>
          <w:sz w:val="18"/>
          <w:szCs w:val="18"/>
        </w:rPr>
        <w:t>et 80% pour une concentration supérieure à</w:t>
      </w:r>
      <w:r w:rsidR="00C01537" w:rsidRPr="008F797D">
        <w:rPr>
          <w:rFonts w:ascii="Times New Roman" w:hAnsi="Times New Roman" w:cs="Times New Roman"/>
          <w:b/>
          <w:sz w:val="18"/>
          <w:szCs w:val="18"/>
        </w:rPr>
        <w:t xml:space="preserve"> 2 µg EAG/mL</w:t>
      </w:r>
      <w:r w:rsidR="00233E49" w:rsidRPr="008F797D">
        <w:rPr>
          <w:rFonts w:ascii="Times New Roman" w:hAnsi="Times New Roman" w:cs="Times New Roman"/>
          <w:b/>
          <w:sz w:val="18"/>
          <w:szCs w:val="18"/>
        </w:rPr>
        <w:t xml:space="preserve"> pour les trois procédés respectivement</w:t>
      </w:r>
      <w:r w:rsidR="00C01537" w:rsidRPr="008F797D">
        <w:rPr>
          <w:rFonts w:ascii="Times New Roman" w:hAnsi="Times New Roman" w:cs="Times New Roman"/>
          <w:b/>
          <w:sz w:val="18"/>
          <w:szCs w:val="18"/>
        </w:rPr>
        <w:t>.  Ce fort pouvoir est aussi indiqué par leurs IC</w:t>
      </w:r>
      <w:r w:rsidR="00C01537" w:rsidRPr="008F797D">
        <w:rPr>
          <w:rFonts w:ascii="Times New Roman" w:hAnsi="Times New Roman" w:cs="Times New Roman"/>
          <w:b/>
          <w:sz w:val="18"/>
          <w:szCs w:val="18"/>
          <w:vertAlign w:val="subscript"/>
        </w:rPr>
        <w:t>50</w:t>
      </w:r>
      <w:r w:rsidR="00C01537" w:rsidRPr="008F797D">
        <w:rPr>
          <w:rFonts w:ascii="Times New Roman" w:hAnsi="Times New Roman" w:cs="Times New Roman"/>
          <w:b/>
          <w:sz w:val="18"/>
          <w:szCs w:val="18"/>
        </w:rPr>
        <w:t xml:space="preserve"> qui varient de 0,33 à 5,9 µg /mL. </w:t>
      </w:r>
    </w:p>
    <w:p w:rsidR="003851B2" w:rsidRPr="008F797D" w:rsidRDefault="00D535EF" w:rsidP="003851B2">
      <w:pPr>
        <w:contextualSpacing/>
        <w:rPr>
          <w:rFonts w:ascii="Times New Roman" w:hAnsi="Times New Roman" w:cs="Times New Roman"/>
          <w:b/>
          <w:color w:val="000000" w:themeColor="text1"/>
          <w:sz w:val="18"/>
          <w:szCs w:val="18"/>
        </w:rPr>
      </w:pPr>
      <w:r w:rsidRPr="008F797D">
        <w:rPr>
          <w:rFonts w:ascii="Times New Roman" w:hAnsi="Times New Roman" w:cs="Times New Roman"/>
          <w:b/>
          <w:sz w:val="18"/>
          <w:szCs w:val="18"/>
        </w:rPr>
        <w:t>Les  essais d’extraction réalisés sur les feuilles de l’inule visqueuse dans un soxhlet ont montré des rendements décroissants selon la polarité du solvant utilisé ai</w:t>
      </w:r>
      <w:r w:rsidR="00233E49" w:rsidRPr="008F797D">
        <w:rPr>
          <w:rFonts w:ascii="Times New Roman" w:hAnsi="Times New Roman" w:cs="Times New Roman"/>
          <w:b/>
          <w:sz w:val="18"/>
          <w:szCs w:val="18"/>
        </w:rPr>
        <w:t>nsi que l’activité antioxydante</w:t>
      </w:r>
      <w:r w:rsidR="006C56BD">
        <w:rPr>
          <w:rFonts w:ascii="Times New Roman" w:hAnsi="Times New Roman" w:cs="Times New Roman"/>
          <w:b/>
          <w:sz w:val="18"/>
          <w:szCs w:val="18"/>
        </w:rPr>
        <w:t>.</w:t>
      </w:r>
      <w:r w:rsidRPr="008F797D">
        <w:rPr>
          <w:rFonts w:ascii="Times New Roman" w:hAnsi="Times New Roman" w:cs="Times New Roman"/>
          <w:b/>
          <w:sz w:val="18"/>
          <w:szCs w:val="18"/>
        </w:rPr>
        <w:t xml:space="preserve"> L</w:t>
      </w:r>
      <w:r w:rsidRPr="008F797D">
        <w:rPr>
          <w:rFonts w:ascii="Times New Roman" w:hAnsi="Times New Roman" w:cs="Times New Roman"/>
          <w:b/>
          <w:color w:val="000000" w:themeColor="text1"/>
          <w:sz w:val="18"/>
          <w:szCs w:val="18"/>
        </w:rPr>
        <w:t>’extrait méthanolique possède l’activité antioxydante la plus élevée (IC</w:t>
      </w:r>
      <w:r w:rsidRPr="008F797D">
        <w:rPr>
          <w:rFonts w:ascii="Times New Roman" w:hAnsi="Times New Roman" w:cs="Times New Roman"/>
          <w:b/>
          <w:color w:val="000000" w:themeColor="text1"/>
          <w:sz w:val="18"/>
          <w:szCs w:val="18"/>
          <w:vertAlign w:val="subscript"/>
        </w:rPr>
        <w:t>50</w:t>
      </w:r>
      <w:r w:rsidRPr="008F797D">
        <w:rPr>
          <w:rFonts w:ascii="Times New Roman" w:hAnsi="Times New Roman" w:cs="Times New Roman"/>
          <w:b/>
          <w:color w:val="000000" w:themeColor="text1"/>
          <w:sz w:val="18"/>
          <w:szCs w:val="18"/>
        </w:rPr>
        <w:t xml:space="preserve"> = 5,33 ± 0,58 µg/mL), suivi de l’extrait éthanoliq</w:t>
      </w:r>
      <w:r w:rsidR="006E638B">
        <w:rPr>
          <w:rFonts w:ascii="Times New Roman" w:hAnsi="Times New Roman" w:cs="Times New Roman"/>
          <w:b/>
          <w:color w:val="000000" w:themeColor="text1"/>
          <w:sz w:val="18"/>
          <w:szCs w:val="18"/>
        </w:rPr>
        <w:t>ue</w:t>
      </w:r>
      <w:r w:rsidR="006C56BD">
        <w:rPr>
          <w:rFonts w:ascii="Times New Roman" w:hAnsi="Times New Roman" w:cs="Times New Roman"/>
          <w:b/>
          <w:color w:val="000000" w:themeColor="text1"/>
          <w:sz w:val="18"/>
          <w:szCs w:val="18"/>
        </w:rPr>
        <w:t>,</w:t>
      </w:r>
      <w:r w:rsidR="008F797D">
        <w:rPr>
          <w:rFonts w:ascii="Times New Roman" w:hAnsi="Times New Roman" w:cs="Times New Roman"/>
          <w:b/>
          <w:color w:val="000000" w:themeColor="text1"/>
          <w:sz w:val="18"/>
          <w:szCs w:val="18"/>
        </w:rPr>
        <w:t xml:space="preserve"> de</w:t>
      </w:r>
      <w:r w:rsidRPr="008F797D">
        <w:rPr>
          <w:rFonts w:ascii="Times New Roman" w:hAnsi="Times New Roman" w:cs="Times New Roman"/>
          <w:b/>
          <w:color w:val="000000" w:themeColor="text1"/>
          <w:sz w:val="18"/>
          <w:szCs w:val="18"/>
        </w:rPr>
        <w:t xml:space="preserve"> l’extrait avec l’acétat</w:t>
      </w:r>
      <w:r w:rsidR="006E638B">
        <w:rPr>
          <w:rFonts w:ascii="Times New Roman" w:hAnsi="Times New Roman" w:cs="Times New Roman"/>
          <w:b/>
          <w:color w:val="000000" w:themeColor="text1"/>
          <w:sz w:val="18"/>
          <w:szCs w:val="18"/>
        </w:rPr>
        <w:t>e d’éthyle</w:t>
      </w:r>
      <w:r w:rsidR="006C56BD">
        <w:rPr>
          <w:rFonts w:ascii="Times New Roman" w:hAnsi="Times New Roman" w:cs="Times New Roman"/>
          <w:b/>
          <w:color w:val="000000" w:themeColor="text1"/>
          <w:sz w:val="18"/>
          <w:szCs w:val="18"/>
        </w:rPr>
        <w:t>, de l</w:t>
      </w:r>
      <w:r w:rsidR="006E638B">
        <w:rPr>
          <w:rFonts w:ascii="Times New Roman" w:hAnsi="Times New Roman" w:cs="Times New Roman"/>
          <w:b/>
          <w:color w:val="000000" w:themeColor="text1"/>
          <w:sz w:val="18"/>
          <w:szCs w:val="18"/>
        </w:rPr>
        <w:t>’extrait acétonique</w:t>
      </w:r>
      <w:r w:rsidR="006C56BD">
        <w:rPr>
          <w:rFonts w:ascii="Times New Roman" w:hAnsi="Times New Roman" w:cs="Times New Roman"/>
          <w:b/>
          <w:color w:val="000000" w:themeColor="text1"/>
          <w:sz w:val="18"/>
          <w:szCs w:val="18"/>
        </w:rPr>
        <w:t>et de</w:t>
      </w:r>
      <w:r w:rsidRPr="008F797D">
        <w:rPr>
          <w:rFonts w:ascii="Times New Roman" w:hAnsi="Times New Roman" w:cs="Times New Roman"/>
          <w:b/>
          <w:color w:val="000000" w:themeColor="text1"/>
          <w:sz w:val="18"/>
          <w:szCs w:val="18"/>
        </w:rPr>
        <w:t xml:space="preserve"> l’</w:t>
      </w:r>
      <w:r w:rsidR="006C56BD">
        <w:rPr>
          <w:rFonts w:ascii="Times New Roman" w:hAnsi="Times New Roman" w:cs="Times New Roman"/>
          <w:b/>
          <w:color w:val="000000" w:themeColor="text1"/>
          <w:sz w:val="18"/>
          <w:szCs w:val="18"/>
        </w:rPr>
        <w:t xml:space="preserve">extrait à </w:t>
      </w:r>
      <w:r w:rsidR="00AB75F3">
        <w:rPr>
          <w:rFonts w:ascii="Times New Roman" w:hAnsi="Times New Roman" w:cs="Times New Roman"/>
          <w:b/>
          <w:color w:val="000000" w:themeColor="text1"/>
          <w:sz w:val="18"/>
          <w:szCs w:val="18"/>
        </w:rPr>
        <w:t>l’</w:t>
      </w:r>
      <w:r w:rsidRPr="008F797D">
        <w:rPr>
          <w:rFonts w:ascii="Times New Roman" w:hAnsi="Times New Roman" w:cs="Times New Roman"/>
          <w:b/>
          <w:color w:val="000000" w:themeColor="text1"/>
          <w:sz w:val="18"/>
          <w:szCs w:val="18"/>
        </w:rPr>
        <w:t>h</w:t>
      </w:r>
      <w:r w:rsidR="00233E49" w:rsidRPr="008F797D">
        <w:rPr>
          <w:rFonts w:ascii="Times New Roman" w:hAnsi="Times New Roman" w:cs="Times New Roman"/>
          <w:b/>
          <w:color w:val="000000" w:themeColor="text1"/>
          <w:sz w:val="18"/>
          <w:szCs w:val="18"/>
        </w:rPr>
        <w:t xml:space="preserve">exane </w:t>
      </w:r>
      <w:r w:rsidR="006C56BD">
        <w:rPr>
          <w:rFonts w:ascii="Times New Roman" w:hAnsi="Times New Roman" w:cs="Times New Roman"/>
          <w:b/>
          <w:color w:val="000000" w:themeColor="text1"/>
          <w:sz w:val="18"/>
          <w:szCs w:val="18"/>
        </w:rPr>
        <w:t>(</w:t>
      </w:r>
      <w:r w:rsidRPr="008F797D">
        <w:rPr>
          <w:rFonts w:ascii="Times New Roman" w:hAnsi="Times New Roman" w:cs="Times New Roman"/>
          <w:b/>
          <w:color w:val="000000" w:themeColor="text1"/>
          <w:sz w:val="18"/>
          <w:szCs w:val="18"/>
        </w:rPr>
        <w:t>17,03 ± 0,43 µg/mL</w:t>
      </w:r>
      <w:r w:rsidR="006C56BD">
        <w:rPr>
          <w:rFonts w:ascii="Times New Roman" w:hAnsi="Times New Roman" w:cs="Times New Roman"/>
          <w:b/>
          <w:color w:val="000000" w:themeColor="text1"/>
          <w:sz w:val="18"/>
          <w:szCs w:val="18"/>
        </w:rPr>
        <w:t>). L</w:t>
      </w:r>
      <w:r w:rsidRPr="008F797D">
        <w:rPr>
          <w:rFonts w:ascii="Times New Roman" w:hAnsi="Times New Roman" w:cs="Times New Roman"/>
          <w:b/>
          <w:color w:val="000000" w:themeColor="text1"/>
          <w:sz w:val="18"/>
          <w:szCs w:val="18"/>
        </w:rPr>
        <w:t xml:space="preserve">es teneurs en polyphénols suivent la même variation que celle des activités antioxydantes, l’extrait méthanolique est très riche en polyphénols (106,34 ± 1,49 mg </w:t>
      </w:r>
      <w:r w:rsidR="00E442E3">
        <w:rPr>
          <w:rFonts w:ascii="Times New Roman" w:hAnsi="Times New Roman" w:cs="Times New Roman"/>
          <w:b/>
          <w:color w:val="000000" w:themeColor="text1"/>
          <w:sz w:val="18"/>
          <w:szCs w:val="18"/>
        </w:rPr>
        <w:t>EAG</w:t>
      </w:r>
      <w:r w:rsidRPr="008F797D">
        <w:rPr>
          <w:rFonts w:ascii="Times New Roman" w:hAnsi="Times New Roman" w:cs="Times New Roman"/>
          <w:b/>
          <w:color w:val="000000" w:themeColor="text1"/>
          <w:sz w:val="18"/>
          <w:szCs w:val="18"/>
        </w:rPr>
        <w:t>/ g MS).</w:t>
      </w:r>
    </w:p>
    <w:p w:rsidR="00224E6C" w:rsidRPr="00841279" w:rsidRDefault="003851B2" w:rsidP="00841279">
      <w:pPr>
        <w:rPr>
          <w:rFonts w:ascii="Times New Roman" w:hAnsi="Times New Roman" w:cs="Times New Roman"/>
          <w:b/>
          <w:sz w:val="18"/>
          <w:szCs w:val="18"/>
        </w:rPr>
      </w:pPr>
      <w:r w:rsidRPr="00841279">
        <w:rPr>
          <w:rFonts w:ascii="Times New Roman" w:hAnsi="Times New Roman" w:cs="Times New Roman"/>
          <w:b/>
          <w:i/>
          <w:sz w:val="18"/>
          <w:szCs w:val="18"/>
        </w:rPr>
        <w:t>Mots clés</w:t>
      </w:r>
      <w:r w:rsidR="008F797D">
        <w:rPr>
          <w:rFonts w:ascii="Times New Roman" w:hAnsi="Times New Roman" w:cs="Times New Roman"/>
          <w:b/>
          <w:sz w:val="18"/>
          <w:szCs w:val="18"/>
        </w:rPr>
        <w:t> </w:t>
      </w:r>
      <w:r w:rsidR="008F797D" w:rsidRPr="008F797D">
        <w:rPr>
          <w:rFonts w:ascii="Times New Roman" w:hAnsi="Times New Roman" w:cs="Times New Roman"/>
          <w:b/>
          <w:i/>
          <w:sz w:val="18"/>
          <w:szCs w:val="18"/>
        </w:rPr>
        <w:t>: I</w:t>
      </w:r>
      <w:r w:rsidRPr="008F797D">
        <w:rPr>
          <w:rFonts w:ascii="Times New Roman" w:hAnsi="Times New Roman" w:cs="Times New Roman"/>
          <w:b/>
          <w:i/>
          <w:sz w:val="18"/>
          <w:szCs w:val="18"/>
        </w:rPr>
        <w:t>nulaviscosa</w:t>
      </w:r>
      <w:r>
        <w:rPr>
          <w:rFonts w:ascii="Times New Roman" w:hAnsi="Times New Roman" w:cs="Times New Roman"/>
          <w:b/>
          <w:sz w:val="18"/>
          <w:szCs w:val="18"/>
        </w:rPr>
        <w:t>, polyphénols, activité antioxydante, huile</w:t>
      </w:r>
      <w:r w:rsidR="00841279">
        <w:rPr>
          <w:rFonts w:ascii="Times New Roman" w:hAnsi="Times New Roman" w:cs="Times New Roman"/>
          <w:b/>
          <w:sz w:val="18"/>
          <w:szCs w:val="18"/>
        </w:rPr>
        <w:t>s</w:t>
      </w:r>
      <w:r>
        <w:rPr>
          <w:rFonts w:ascii="Times New Roman" w:hAnsi="Times New Roman" w:cs="Times New Roman"/>
          <w:b/>
          <w:sz w:val="18"/>
          <w:szCs w:val="18"/>
        </w:rPr>
        <w:t xml:space="preserve"> essentielles, hydrolat, </w:t>
      </w:r>
      <w:r w:rsidR="006C56BD">
        <w:rPr>
          <w:rFonts w:ascii="Times New Roman" w:hAnsi="Times New Roman" w:cs="Times New Roman"/>
          <w:b/>
          <w:sz w:val="18"/>
          <w:szCs w:val="18"/>
        </w:rPr>
        <w:t>ex</w:t>
      </w:r>
      <w:r w:rsidR="00841279">
        <w:rPr>
          <w:rFonts w:ascii="Times New Roman" w:hAnsi="Times New Roman" w:cs="Times New Roman"/>
          <w:b/>
          <w:sz w:val="18"/>
          <w:szCs w:val="18"/>
        </w:rPr>
        <w:t>traits.</w:t>
      </w:r>
    </w:p>
    <w:p w:rsidR="001F72D4" w:rsidRDefault="00841279" w:rsidP="00E00C18">
      <w:pPr>
        <w:spacing w:before="180" w:after="60"/>
        <w:jc w:val="center"/>
        <w:rPr>
          <w:rFonts w:ascii="Times New Roman" w:hAnsi="Times New Roman" w:cs="Times New Roman"/>
          <w:sz w:val="20"/>
          <w:szCs w:val="20"/>
        </w:rPr>
      </w:pPr>
      <w:r>
        <w:rPr>
          <w:rFonts w:ascii="Times New Roman" w:hAnsi="Times New Roman" w:cs="Times New Roman"/>
          <w:sz w:val="20"/>
          <w:szCs w:val="20"/>
        </w:rPr>
        <w:t>INTRODUCTION</w:t>
      </w:r>
      <w:bookmarkStart w:id="0" w:name="_Toc421492975"/>
    </w:p>
    <w:p w:rsidR="00065007" w:rsidRDefault="00483BB8" w:rsidP="004E1D3A">
      <w:pPr>
        <w:rPr>
          <w:rFonts w:ascii="Times New Roman" w:hAnsi="Times New Roman" w:cs="Times New Roman"/>
          <w:sz w:val="20"/>
          <w:szCs w:val="20"/>
        </w:rPr>
      </w:pPr>
      <w:r>
        <w:rPr>
          <w:rFonts w:ascii="Times New Roman" w:hAnsi="Times New Roman" w:cs="Times New Roman"/>
          <w:sz w:val="20"/>
          <w:szCs w:val="20"/>
        </w:rPr>
        <w:t xml:space="preserve">L’inule visqueuse, appartenant à la famille des astéracées et largement distribué en Algérie, est une plante utilisée en médecine traditionnelle, ses activités thérapeutiques et antiseptiques sont nombreuses. </w:t>
      </w:r>
      <w:r w:rsidR="00654DE6">
        <w:rPr>
          <w:rFonts w:ascii="Times New Roman" w:hAnsi="Times New Roman" w:cs="Times New Roman"/>
          <w:sz w:val="20"/>
          <w:szCs w:val="20"/>
        </w:rPr>
        <w:t>L’</w:t>
      </w:r>
      <w:r w:rsidR="004767F3">
        <w:rPr>
          <w:rFonts w:ascii="Times New Roman" w:hAnsi="Times New Roman" w:cs="Times New Roman"/>
          <w:sz w:val="20"/>
          <w:szCs w:val="20"/>
        </w:rPr>
        <w:t xml:space="preserve">étude mené par Seca (2014) a montré que le genre </w:t>
      </w:r>
      <w:r w:rsidR="004767F3">
        <w:rPr>
          <w:rFonts w:ascii="Times New Roman" w:hAnsi="Times New Roman" w:cs="Times New Roman"/>
          <w:i/>
          <w:sz w:val="20"/>
          <w:szCs w:val="20"/>
        </w:rPr>
        <w:t>Inula é</w:t>
      </w:r>
      <w:r w:rsidR="004767F3" w:rsidRPr="004767F3">
        <w:rPr>
          <w:rFonts w:ascii="Times New Roman" w:hAnsi="Times New Roman" w:cs="Times New Roman"/>
          <w:sz w:val="20"/>
          <w:szCs w:val="20"/>
        </w:rPr>
        <w:t xml:space="preserve">tait riche en composés sesquiterpéniques [1]. </w:t>
      </w:r>
      <w:r w:rsidR="004767F3">
        <w:rPr>
          <w:rFonts w:ascii="Times New Roman" w:hAnsi="Times New Roman" w:cs="Times New Roman"/>
          <w:sz w:val="20"/>
          <w:szCs w:val="20"/>
        </w:rPr>
        <w:t>Plusieurs travaux ont mis en évidences ces effe</w:t>
      </w:r>
      <w:r w:rsidR="00405473">
        <w:rPr>
          <w:rFonts w:ascii="Times New Roman" w:hAnsi="Times New Roman" w:cs="Times New Roman"/>
          <w:sz w:val="20"/>
          <w:szCs w:val="20"/>
        </w:rPr>
        <w:t>ts a</w:t>
      </w:r>
      <w:r w:rsidR="0064636A">
        <w:rPr>
          <w:rFonts w:ascii="Times New Roman" w:hAnsi="Times New Roman" w:cs="Times New Roman"/>
          <w:sz w:val="20"/>
          <w:szCs w:val="20"/>
        </w:rPr>
        <w:t>tibiotiques,</w:t>
      </w:r>
      <w:r w:rsidR="004767F3">
        <w:rPr>
          <w:rFonts w:ascii="Times New Roman" w:hAnsi="Times New Roman" w:cs="Times New Roman"/>
          <w:sz w:val="20"/>
          <w:szCs w:val="20"/>
        </w:rPr>
        <w:t>antifonfiques</w:t>
      </w:r>
      <w:r w:rsidR="0064636A">
        <w:rPr>
          <w:rFonts w:ascii="Times New Roman" w:hAnsi="Times New Roman" w:cs="Times New Roman"/>
          <w:sz w:val="20"/>
          <w:szCs w:val="20"/>
        </w:rPr>
        <w:t xml:space="preserve"> et autres[2</w:t>
      </w:r>
      <w:r w:rsidR="00654DE6">
        <w:rPr>
          <w:rFonts w:ascii="Times New Roman" w:hAnsi="Times New Roman" w:cs="Times New Roman"/>
          <w:sz w:val="20"/>
          <w:szCs w:val="20"/>
        </w:rPr>
        <w:t>]</w:t>
      </w:r>
      <w:r w:rsidR="0064636A">
        <w:rPr>
          <w:rFonts w:ascii="Times New Roman" w:hAnsi="Times New Roman" w:cs="Times New Roman"/>
          <w:sz w:val="20"/>
          <w:szCs w:val="20"/>
        </w:rPr>
        <w:t>-</w:t>
      </w:r>
      <w:r w:rsidR="00654DE6">
        <w:rPr>
          <w:rFonts w:ascii="Times New Roman" w:hAnsi="Times New Roman" w:cs="Times New Roman"/>
          <w:sz w:val="20"/>
          <w:szCs w:val="20"/>
        </w:rPr>
        <w:t>[</w:t>
      </w:r>
      <w:r w:rsidR="00065007">
        <w:rPr>
          <w:rFonts w:ascii="Times New Roman" w:hAnsi="Times New Roman" w:cs="Times New Roman"/>
          <w:sz w:val="20"/>
          <w:szCs w:val="20"/>
        </w:rPr>
        <w:t>7</w:t>
      </w:r>
      <w:r w:rsidR="004767F3">
        <w:rPr>
          <w:rFonts w:ascii="Times New Roman" w:hAnsi="Times New Roman" w:cs="Times New Roman"/>
          <w:sz w:val="20"/>
          <w:szCs w:val="20"/>
        </w:rPr>
        <w:t>].</w:t>
      </w:r>
      <w:r w:rsidR="00AB75F3">
        <w:rPr>
          <w:rFonts w:ascii="Times New Roman" w:hAnsi="Times New Roman" w:cs="Times New Roman"/>
          <w:sz w:val="20"/>
          <w:szCs w:val="20"/>
        </w:rPr>
        <w:t>L’activité antixydante des huiles essentielles est rapportée par plusieurs travaux [8] à [14], celles des extraits par [9], [12] et [14] à [22], peu de tra</w:t>
      </w:r>
      <w:r w:rsidR="00ED33FA">
        <w:rPr>
          <w:rFonts w:ascii="Times New Roman" w:hAnsi="Times New Roman" w:cs="Times New Roman"/>
          <w:sz w:val="20"/>
          <w:szCs w:val="20"/>
        </w:rPr>
        <w:t>vaux ont cités les hydrolats [8] et [23</w:t>
      </w:r>
      <w:r w:rsidR="00AB75F3">
        <w:rPr>
          <w:rFonts w:ascii="Times New Roman" w:hAnsi="Times New Roman" w:cs="Times New Roman"/>
          <w:sz w:val="20"/>
          <w:szCs w:val="20"/>
        </w:rPr>
        <w:t>].</w:t>
      </w:r>
    </w:p>
    <w:p w:rsidR="00F63A0A" w:rsidRDefault="00BE2C06" w:rsidP="00BE2C06">
      <w:pPr>
        <w:rPr>
          <w:rFonts w:ascii="Times New Roman" w:hAnsi="Times New Roman" w:cs="Times New Roman"/>
          <w:sz w:val="20"/>
          <w:szCs w:val="20"/>
        </w:rPr>
      </w:pPr>
      <w:r>
        <w:rPr>
          <w:rFonts w:ascii="Times New Roman" w:hAnsi="Times New Roman" w:cs="Times New Roman"/>
          <w:sz w:val="20"/>
          <w:szCs w:val="20"/>
        </w:rPr>
        <w:t>Dans ce travail, nous abo</w:t>
      </w:r>
      <w:r w:rsidR="00FE51EB">
        <w:rPr>
          <w:rFonts w:ascii="Times New Roman" w:hAnsi="Times New Roman" w:cs="Times New Roman"/>
          <w:sz w:val="20"/>
          <w:szCs w:val="20"/>
        </w:rPr>
        <w:t>rderons l’activité antioxydante</w:t>
      </w:r>
      <w:r w:rsidR="004E1D3A">
        <w:rPr>
          <w:rFonts w:ascii="Times New Roman" w:hAnsi="Times New Roman" w:cs="Times New Roman"/>
          <w:sz w:val="20"/>
          <w:szCs w:val="20"/>
        </w:rPr>
        <w:t>des huiles essentielles obtenu</w:t>
      </w:r>
      <w:r w:rsidR="00654DE6">
        <w:rPr>
          <w:rFonts w:ascii="Times New Roman" w:hAnsi="Times New Roman" w:cs="Times New Roman"/>
          <w:sz w:val="20"/>
          <w:szCs w:val="20"/>
        </w:rPr>
        <w:t>es</w:t>
      </w:r>
      <w:r w:rsidR="004E1D3A">
        <w:rPr>
          <w:rFonts w:ascii="Times New Roman" w:hAnsi="Times New Roman" w:cs="Times New Roman"/>
          <w:sz w:val="20"/>
          <w:szCs w:val="20"/>
        </w:rPr>
        <w:t xml:space="preserve"> par différents </w:t>
      </w:r>
      <w:r w:rsidR="004E1D3A">
        <w:rPr>
          <w:rFonts w:ascii="Times New Roman" w:hAnsi="Times New Roman" w:cs="Times New Roman"/>
          <w:sz w:val="20"/>
          <w:szCs w:val="20"/>
        </w:rPr>
        <w:lastRenderedPageBreak/>
        <w:t>procédés</w:t>
      </w:r>
      <w:r w:rsidR="00483BB8">
        <w:rPr>
          <w:rFonts w:ascii="Times New Roman" w:hAnsi="Times New Roman" w:cs="Times New Roman"/>
          <w:sz w:val="20"/>
          <w:szCs w:val="20"/>
        </w:rPr>
        <w:t> :</w:t>
      </w:r>
      <w:r w:rsidR="00483BB8" w:rsidRPr="00483BB8">
        <w:rPr>
          <w:rFonts w:ascii="Times New Roman" w:hAnsi="Times New Roman" w:cs="Times New Roman"/>
          <w:sz w:val="20"/>
          <w:szCs w:val="20"/>
        </w:rPr>
        <w:t>ent</w:t>
      </w:r>
      <w:r w:rsidR="00483BB8">
        <w:rPr>
          <w:rFonts w:ascii="Times New Roman" w:hAnsi="Times New Roman" w:cs="Times New Roman"/>
          <w:sz w:val="20"/>
          <w:szCs w:val="20"/>
        </w:rPr>
        <w:t>rainement à la va</w:t>
      </w:r>
      <w:r w:rsidR="00065007">
        <w:rPr>
          <w:rFonts w:ascii="Times New Roman" w:hAnsi="Times New Roman" w:cs="Times New Roman"/>
          <w:sz w:val="20"/>
          <w:szCs w:val="20"/>
        </w:rPr>
        <w:t>pe</w:t>
      </w:r>
      <w:r w:rsidR="00483BB8">
        <w:rPr>
          <w:rFonts w:ascii="Times New Roman" w:hAnsi="Times New Roman" w:cs="Times New Roman"/>
          <w:sz w:val="20"/>
          <w:szCs w:val="20"/>
        </w:rPr>
        <w:t>ur</w:t>
      </w:r>
      <w:r w:rsidR="00FE51EB">
        <w:rPr>
          <w:rFonts w:ascii="Times New Roman" w:hAnsi="Times New Roman" w:cs="Times New Roman"/>
          <w:sz w:val="20"/>
          <w:szCs w:val="20"/>
        </w:rPr>
        <w:t xml:space="preserve"> d’eau</w:t>
      </w:r>
      <w:r w:rsidR="006E638B">
        <w:rPr>
          <w:rFonts w:ascii="Times New Roman" w:hAnsi="Times New Roman" w:cs="Times New Roman"/>
          <w:sz w:val="20"/>
          <w:szCs w:val="20"/>
        </w:rPr>
        <w:t xml:space="preserve"> (EVE)</w:t>
      </w:r>
      <w:r>
        <w:rPr>
          <w:rFonts w:ascii="Times New Roman" w:hAnsi="Times New Roman" w:cs="Times New Roman"/>
          <w:sz w:val="20"/>
          <w:szCs w:val="20"/>
        </w:rPr>
        <w:t>, hydrodistillation</w:t>
      </w:r>
      <w:r w:rsidR="006E638B">
        <w:rPr>
          <w:rFonts w:ascii="Times New Roman" w:hAnsi="Times New Roman" w:cs="Times New Roman"/>
          <w:sz w:val="20"/>
          <w:szCs w:val="20"/>
        </w:rPr>
        <w:t xml:space="preserve"> (HD)</w:t>
      </w:r>
      <w:r>
        <w:rPr>
          <w:rFonts w:ascii="Times New Roman" w:hAnsi="Times New Roman" w:cs="Times New Roman"/>
          <w:sz w:val="20"/>
          <w:szCs w:val="20"/>
        </w:rPr>
        <w:t xml:space="preserve"> et hydrodiffusion</w:t>
      </w:r>
      <w:r w:rsidR="006E638B">
        <w:rPr>
          <w:rFonts w:ascii="Times New Roman" w:hAnsi="Times New Roman" w:cs="Times New Roman"/>
          <w:sz w:val="20"/>
          <w:szCs w:val="20"/>
        </w:rPr>
        <w:t xml:space="preserve"> (Hdiff)</w:t>
      </w:r>
      <w:r>
        <w:rPr>
          <w:rFonts w:ascii="Times New Roman" w:hAnsi="Times New Roman" w:cs="Times New Roman"/>
          <w:sz w:val="20"/>
          <w:szCs w:val="20"/>
        </w:rPr>
        <w:t>, des hydrolats et des extraits récupérés par différents solvants.</w:t>
      </w:r>
      <w:r w:rsidR="00065007">
        <w:rPr>
          <w:rFonts w:ascii="Times New Roman" w:hAnsi="Times New Roman" w:cs="Times New Roman"/>
          <w:sz w:val="20"/>
          <w:szCs w:val="20"/>
        </w:rPr>
        <w:t xml:space="preserve"> Peu de travaux cite</w:t>
      </w:r>
      <w:r w:rsidR="00654DE6">
        <w:rPr>
          <w:rFonts w:ascii="Times New Roman" w:hAnsi="Times New Roman" w:cs="Times New Roman"/>
          <w:sz w:val="20"/>
          <w:szCs w:val="20"/>
        </w:rPr>
        <w:t>nt</w:t>
      </w:r>
      <w:r w:rsidR="00065007">
        <w:rPr>
          <w:rFonts w:ascii="Times New Roman" w:hAnsi="Times New Roman" w:cs="Times New Roman"/>
          <w:sz w:val="20"/>
          <w:szCs w:val="20"/>
        </w:rPr>
        <w:t xml:space="preserve"> l’</w:t>
      </w:r>
      <w:r w:rsidR="00065007">
        <w:rPr>
          <w:rFonts w:ascii="Times New Roman" w:hAnsi="Times New Roman" w:cs="Times New Roman"/>
          <w:i/>
          <w:sz w:val="20"/>
          <w:szCs w:val="20"/>
        </w:rPr>
        <w:t>Inulaviscosa</w:t>
      </w:r>
      <w:r w:rsidR="00065007">
        <w:rPr>
          <w:rFonts w:ascii="Times New Roman" w:hAnsi="Times New Roman" w:cs="Times New Roman"/>
          <w:sz w:val="20"/>
          <w:szCs w:val="20"/>
        </w:rPr>
        <w:t xml:space="preserve">. </w:t>
      </w:r>
      <w:r>
        <w:rPr>
          <w:rFonts w:ascii="Times New Roman" w:hAnsi="Times New Roman" w:cs="Times New Roman"/>
          <w:sz w:val="20"/>
          <w:szCs w:val="20"/>
        </w:rPr>
        <w:t>La procédure suivi</w:t>
      </w:r>
      <w:r w:rsidR="00FE51EB">
        <w:rPr>
          <w:rFonts w:ascii="Times New Roman" w:hAnsi="Times New Roman" w:cs="Times New Roman"/>
          <w:sz w:val="20"/>
          <w:szCs w:val="20"/>
        </w:rPr>
        <w:t>e</w:t>
      </w:r>
      <w:r>
        <w:rPr>
          <w:rFonts w:ascii="Times New Roman" w:hAnsi="Times New Roman" w:cs="Times New Roman"/>
          <w:sz w:val="20"/>
          <w:szCs w:val="20"/>
        </w:rPr>
        <w:t xml:space="preserve"> est représentée par la figure 1</w:t>
      </w:r>
      <w:r w:rsidR="00C47040">
        <w:rPr>
          <w:rFonts w:ascii="Times New Roman" w:hAnsi="Times New Roman" w:cs="Times New Roman"/>
          <w:sz w:val="20"/>
          <w:szCs w:val="20"/>
        </w:rPr>
        <w:t>.</w:t>
      </w:r>
    </w:p>
    <w:p w:rsidR="00C47040" w:rsidRDefault="00C47040" w:rsidP="00BE2C06">
      <w:pPr>
        <w:rPr>
          <w:rFonts w:ascii="Times New Roman" w:hAnsi="Times New Roman" w:cs="Times New Roman"/>
          <w:sz w:val="20"/>
          <w:szCs w:val="20"/>
        </w:rPr>
      </w:pPr>
    </w:p>
    <w:p w:rsidR="00BE2C06" w:rsidRDefault="00BE2C06" w:rsidP="00BE2C06">
      <w:pPr>
        <w:rPr>
          <w:rFonts w:ascii="Times New Roman" w:hAnsi="Times New Roman" w:cs="Times New Roman"/>
          <w:sz w:val="20"/>
          <w:szCs w:val="20"/>
        </w:rPr>
      </w:pPr>
      <w:r w:rsidRPr="001F72D4">
        <w:rPr>
          <w:noProof/>
          <w:sz w:val="20"/>
          <w:lang w:eastAsia="fr-FR"/>
        </w:rPr>
        <w:drawing>
          <wp:inline distT="0" distB="0" distL="0" distR="0">
            <wp:extent cx="3297600" cy="2144789"/>
            <wp:effectExtent l="0" t="0" r="0"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6399" cy="2144008"/>
                    </a:xfrm>
                    <a:prstGeom prst="rect">
                      <a:avLst/>
                    </a:prstGeom>
                  </pic:spPr>
                </pic:pic>
              </a:graphicData>
            </a:graphic>
          </wp:inline>
        </w:drawing>
      </w:r>
    </w:p>
    <w:p w:rsidR="00BE2C06" w:rsidRDefault="00BE2C06" w:rsidP="00FD4F85">
      <w:pPr>
        <w:pStyle w:val="Para"/>
        <w:tabs>
          <w:tab w:val="left" w:pos="1159"/>
        </w:tabs>
        <w:spacing w:line="240" w:lineRule="auto"/>
        <w:contextualSpacing/>
        <w:jc w:val="center"/>
        <w:rPr>
          <w:sz w:val="16"/>
          <w:szCs w:val="16"/>
          <w:lang w:val="fr-FR"/>
        </w:rPr>
      </w:pPr>
      <w:bookmarkStart w:id="1" w:name="_Toc421485544"/>
      <w:r w:rsidRPr="00FD4F85">
        <w:rPr>
          <w:bCs/>
          <w:sz w:val="16"/>
          <w:szCs w:val="16"/>
        </w:rPr>
        <w:t>Figure 1</w:t>
      </w:r>
      <w:r w:rsidRPr="00FD4F85">
        <w:rPr>
          <w:b/>
          <w:bCs/>
          <w:sz w:val="16"/>
          <w:szCs w:val="16"/>
          <w:lang w:val="fr-FR"/>
        </w:rPr>
        <w:t>:</w:t>
      </w:r>
      <w:r w:rsidRPr="00FD4F85">
        <w:rPr>
          <w:sz w:val="16"/>
          <w:szCs w:val="16"/>
          <w:lang w:val="fr-FR"/>
        </w:rPr>
        <w:t xml:space="preserve"> Expériences effectuées dans la présente étude.</w:t>
      </w:r>
      <w:bookmarkEnd w:id="1"/>
    </w:p>
    <w:p w:rsidR="005F6B3F" w:rsidRDefault="005F6B3F" w:rsidP="00E00C18">
      <w:pPr>
        <w:spacing w:before="180" w:after="60"/>
        <w:contextualSpacing/>
        <w:jc w:val="center"/>
        <w:rPr>
          <w:rFonts w:ascii="Times New Roman" w:hAnsi="Times New Roman" w:cs="Times New Roman"/>
          <w:sz w:val="20"/>
          <w:szCs w:val="20"/>
        </w:rPr>
      </w:pPr>
      <w:r>
        <w:rPr>
          <w:rFonts w:ascii="Times New Roman" w:hAnsi="Times New Roman" w:cs="Times New Roman"/>
          <w:sz w:val="20"/>
          <w:szCs w:val="20"/>
        </w:rPr>
        <w:t>MATERIELS ET METHODES</w:t>
      </w:r>
    </w:p>
    <w:p w:rsidR="00224E6C" w:rsidRPr="00FE51EB" w:rsidRDefault="00030706" w:rsidP="00E00C18">
      <w:pPr>
        <w:spacing w:before="150" w:after="60"/>
        <w:contextualSpacing/>
        <w:jc w:val="left"/>
        <w:rPr>
          <w:rFonts w:ascii="Times New Roman" w:hAnsi="Times New Roman" w:cs="Times New Roman"/>
          <w:i/>
          <w:sz w:val="20"/>
          <w:szCs w:val="20"/>
        </w:rPr>
      </w:pPr>
      <w:r>
        <w:rPr>
          <w:rFonts w:ascii="Times New Roman" w:hAnsi="Times New Roman" w:cs="Times New Roman"/>
          <w:i/>
          <w:sz w:val="20"/>
          <w:szCs w:val="20"/>
        </w:rPr>
        <w:t>A.</w:t>
      </w:r>
      <w:r w:rsidR="00224E6C" w:rsidRPr="00FE51EB">
        <w:rPr>
          <w:rFonts w:ascii="Times New Roman" w:hAnsi="Times New Roman" w:cs="Times New Roman"/>
          <w:i/>
          <w:sz w:val="20"/>
          <w:szCs w:val="20"/>
        </w:rPr>
        <w:t>Matière végétale</w:t>
      </w:r>
      <w:bookmarkEnd w:id="0"/>
      <w:r w:rsidR="00224E6C" w:rsidRPr="00FE51EB">
        <w:rPr>
          <w:rFonts w:ascii="Times New Roman" w:hAnsi="Times New Roman" w:cs="Times New Roman"/>
          <w:i/>
          <w:sz w:val="20"/>
          <w:szCs w:val="20"/>
        </w:rPr>
        <w:t> </w:t>
      </w:r>
    </w:p>
    <w:p w:rsidR="00405473" w:rsidRDefault="00224E6C" w:rsidP="00405473">
      <w:pPr>
        <w:contextualSpacing/>
        <w:rPr>
          <w:rFonts w:ascii="Times New Roman" w:hAnsi="Times New Roman" w:cs="Times New Roman"/>
          <w:sz w:val="20"/>
          <w:szCs w:val="20"/>
        </w:rPr>
      </w:pPr>
      <w:r w:rsidRPr="001F72D4">
        <w:rPr>
          <w:rFonts w:ascii="Times New Roman" w:hAnsi="Times New Roman" w:cs="Times New Roman"/>
          <w:sz w:val="20"/>
          <w:szCs w:val="20"/>
        </w:rPr>
        <w:t xml:space="preserve">L’inule visqueuse </w:t>
      </w:r>
      <w:r w:rsidR="00233E49" w:rsidRPr="001F72D4">
        <w:rPr>
          <w:rFonts w:ascii="Times New Roman" w:hAnsi="Times New Roman" w:cs="Times New Roman"/>
          <w:sz w:val="20"/>
          <w:szCs w:val="20"/>
        </w:rPr>
        <w:t xml:space="preserve">a été cueillie </w:t>
      </w:r>
      <w:r w:rsidRPr="001F72D4">
        <w:rPr>
          <w:rFonts w:ascii="Times New Roman" w:hAnsi="Times New Roman" w:cs="Times New Roman"/>
          <w:sz w:val="20"/>
          <w:szCs w:val="20"/>
        </w:rPr>
        <w:t xml:space="preserve"> en</w:t>
      </w:r>
      <w:r w:rsidR="00654DE6">
        <w:rPr>
          <w:rFonts w:ascii="Times New Roman" w:hAnsi="Times New Roman" w:cs="Times New Roman"/>
          <w:sz w:val="20"/>
          <w:szCs w:val="20"/>
        </w:rPr>
        <w:t xml:space="preserve"> Avril 2015</w:t>
      </w:r>
      <w:r w:rsidR="00FE51EB">
        <w:rPr>
          <w:rFonts w:ascii="Times New Roman" w:hAnsi="Times New Roman" w:cs="Times New Roman"/>
          <w:sz w:val="20"/>
          <w:szCs w:val="20"/>
        </w:rPr>
        <w:t xml:space="preserve"> à</w:t>
      </w:r>
      <w:r w:rsidR="006C56BD">
        <w:rPr>
          <w:rFonts w:ascii="Times New Roman" w:hAnsi="Times New Roman" w:cs="Times New Roman"/>
          <w:sz w:val="20"/>
          <w:szCs w:val="20"/>
        </w:rPr>
        <w:t xml:space="preserve"> El-Harrach à 12 km à l’est d’Alger (l</w:t>
      </w:r>
      <w:r w:rsidRPr="001F72D4">
        <w:rPr>
          <w:rFonts w:ascii="Times New Roman" w:hAnsi="Times New Roman" w:cs="Times New Roman"/>
          <w:sz w:val="20"/>
          <w:szCs w:val="20"/>
        </w:rPr>
        <w:t>atitude : 36°43'0.48"</w:t>
      </w:r>
      <w:r w:rsidR="008F797D" w:rsidRPr="001F72D4">
        <w:rPr>
          <w:rFonts w:ascii="Times New Roman" w:hAnsi="Times New Roman" w:cs="Times New Roman"/>
          <w:sz w:val="20"/>
          <w:szCs w:val="20"/>
        </w:rPr>
        <w:t xml:space="preserve">; </w:t>
      </w:r>
      <w:r w:rsidR="006C56BD">
        <w:rPr>
          <w:rFonts w:ascii="Times New Roman" w:hAnsi="Times New Roman" w:cs="Times New Roman"/>
          <w:sz w:val="20"/>
          <w:szCs w:val="20"/>
        </w:rPr>
        <w:t>l</w:t>
      </w:r>
      <w:r w:rsidR="008F797D" w:rsidRPr="001F72D4">
        <w:rPr>
          <w:rFonts w:ascii="Times New Roman" w:hAnsi="Times New Roman" w:cs="Times New Roman"/>
          <w:sz w:val="20"/>
          <w:szCs w:val="20"/>
        </w:rPr>
        <w:t>ongitude : 3°9'15.12")</w:t>
      </w:r>
      <w:r w:rsidRPr="001F72D4">
        <w:rPr>
          <w:rFonts w:ascii="Times New Roman" w:hAnsi="Times New Roman" w:cs="Times New Roman"/>
          <w:sz w:val="20"/>
          <w:szCs w:val="20"/>
        </w:rPr>
        <w:t>.</w:t>
      </w:r>
      <w:r w:rsidR="00FE51EB">
        <w:rPr>
          <w:rFonts w:ascii="Times New Roman" w:hAnsi="Times New Roman" w:cs="Times New Roman"/>
          <w:sz w:val="20"/>
          <w:szCs w:val="20"/>
        </w:rPr>
        <w:t xml:space="preserve"> Certains essais sont réalisés avec la plante fraiche et d’autre sèche.</w:t>
      </w:r>
      <w:r w:rsidRPr="001F72D4">
        <w:rPr>
          <w:rFonts w:ascii="Times New Roman" w:hAnsi="Times New Roman" w:cs="Times New Roman"/>
          <w:sz w:val="20"/>
          <w:szCs w:val="20"/>
        </w:rPr>
        <w:t xml:space="preserve"> Les feu</w:t>
      </w:r>
      <w:r w:rsidR="008F797D" w:rsidRPr="001F72D4">
        <w:rPr>
          <w:rFonts w:ascii="Times New Roman" w:hAnsi="Times New Roman" w:cs="Times New Roman"/>
          <w:sz w:val="20"/>
          <w:szCs w:val="20"/>
        </w:rPr>
        <w:t>illes ont été</w:t>
      </w:r>
      <w:r w:rsidRPr="001F72D4">
        <w:rPr>
          <w:rFonts w:ascii="Times New Roman" w:hAnsi="Times New Roman" w:cs="Times New Roman"/>
          <w:sz w:val="20"/>
          <w:szCs w:val="20"/>
        </w:rPr>
        <w:t xml:space="preserve"> séchées à l’ombre à l’abri de la lumière, à température ambiante quasi-constante, égale à 18 ±1 °C, et utilisées sans subi</w:t>
      </w:r>
      <w:bookmarkStart w:id="2" w:name="_Toc421486952"/>
      <w:r w:rsidR="001F72D4" w:rsidRPr="001F72D4">
        <w:rPr>
          <w:rFonts w:ascii="Times New Roman" w:hAnsi="Times New Roman" w:cs="Times New Roman"/>
          <w:sz w:val="20"/>
          <w:szCs w:val="20"/>
        </w:rPr>
        <w:t>r aucun traitement préliminaire.</w:t>
      </w:r>
      <w:bookmarkEnd w:id="2"/>
    </w:p>
    <w:p w:rsidR="00405473" w:rsidRDefault="005F6B3F" w:rsidP="00E00C18">
      <w:pPr>
        <w:spacing w:before="150" w:after="60"/>
        <w:contextualSpacing/>
        <w:rPr>
          <w:rFonts w:ascii="Times New Roman" w:hAnsi="Times New Roman" w:cs="Times New Roman"/>
          <w:i/>
          <w:sz w:val="20"/>
          <w:szCs w:val="20"/>
        </w:rPr>
      </w:pPr>
      <w:r w:rsidRPr="005C3605">
        <w:rPr>
          <w:rFonts w:ascii="Times New Roman" w:hAnsi="Times New Roman" w:cs="Times New Roman"/>
          <w:i/>
          <w:sz w:val="20"/>
          <w:szCs w:val="20"/>
        </w:rPr>
        <w:t>B Méthodes analytiques</w:t>
      </w:r>
    </w:p>
    <w:p w:rsidR="006C56BD" w:rsidRPr="00405473" w:rsidRDefault="005F6B3F" w:rsidP="00405473">
      <w:pPr>
        <w:contextualSpacing/>
        <w:rPr>
          <w:rFonts w:ascii="Times New Roman" w:hAnsi="Times New Roman" w:cs="Times New Roman"/>
          <w:i/>
          <w:sz w:val="20"/>
          <w:szCs w:val="20"/>
        </w:rPr>
      </w:pPr>
      <w:r w:rsidRPr="005C3605">
        <w:rPr>
          <w:rFonts w:ascii="Times New Roman" w:hAnsi="Times New Roman" w:cs="Times New Roman"/>
          <w:sz w:val="20"/>
          <w:szCs w:val="20"/>
        </w:rPr>
        <w:t>L</w:t>
      </w:r>
      <w:r w:rsidR="00224E6C" w:rsidRPr="005C3605">
        <w:rPr>
          <w:rFonts w:ascii="Times New Roman" w:hAnsi="Times New Roman" w:cs="Times New Roman"/>
          <w:sz w:val="20"/>
          <w:szCs w:val="20"/>
        </w:rPr>
        <w:t>a teneur en polyphénols totaux</w:t>
      </w:r>
      <w:r w:rsidR="00030706">
        <w:rPr>
          <w:rFonts w:ascii="Times New Roman" w:hAnsi="Times New Roman" w:cs="Times New Roman"/>
          <w:sz w:val="20"/>
          <w:szCs w:val="20"/>
        </w:rPr>
        <w:t xml:space="preserve"> (TPT)</w:t>
      </w:r>
      <w:r w:rsidR="00224E6C" w:rsidRPr="005C3605">
        <w:rPr>
          <w:rFonts w:ascii="Times New Roman" w:hAnsi="Times New Roman" w:cs="Times New Roman"/>
          <w:sz w:val="20"/>
          <w:szCs w:val="20"/>
        </w:rPr>
        <w:t xml:space="preserve"> a été déterminée par l</w:t>
      </w:r>
      <w:r w:rsidR="00FE51EB" w:rsidRPr="005C3605">
        <w:rPr>
          <w:rFonts w:ascii="Times New Roman" w:hAnsi="Times New Roman" w:cs="Times New Roman"/>
          <w:sz w:val="20"/>
          <w:szCs w:val="20"/>
        </w:rPr>
        <w:t>a méthode de Folin–Ciocalteu [</w:t>
      </w:r>
      <w:r w:rsidR="00ED33FA">
        <w:rPr>
          <w:rFonts w:ascii="Times New Roman" w:hAnsi="Times New Roman" w:cs="Times New Roman"/>
          <w:sz w:val="20"/>
          <w:szCs w:val="20"/>
        </w:rPr>
        <w:t>24</w:t>
      </w:r>
      <w:r w:rsidR="00224E6C" w:rsidRPr="005C3605">
        <w:rPr>
          <w:rFonts w:ascii="Times New Roman" w:hAnsi="Times New Roman" w:cs="Times New Roman"/>
          <w:sz w:val="20"/>
          <w:szCs w:val="20"/>
        </w:rPr>
        <w:t>]</w:t>
      </w:r>
      <w:bookmarkStart w:id="3" w:name="_Toc421492979"/>
      <w:r w:rsidR="0083717A" w:rsidRPr="005C3605">
        <w:rPr>
          <w:rFonts w:ascii="Times New Roman" w:hAnsi="Times New Roman" w:cs="Times New Roman"/>
          <w:sz w:val="20"/>
          <w:szCs w:val="20"/>
        </w:rPr>
        <w:t xml:space="preserve"> et est donnée en mg d</w:t>
      </w:r>
      <w:r w:rsidR="00654DE6">
        <w:rPr>
          <w:rFonts w:ascii="Times New Roman" w:hAnsi="Times New Roman" w:cs="Times New Roman"/>
          <w:sz w:val="20"/>
          <w:szCs w:val="20"/>
        </w:rPr>
        <w:t>’</w:t>
      </w:r>
      <w:r w:rsidR="0083717A" w:rsidRPr="005C3605">
        <w:rPr>
          <w:rFonts w:ascii="Times New Roman" w:hAnsi="Times New Roman" w:cs="Times New Roman"/>
          <w:sz w:val="20"/>
          <w:szCs w:val="20"/>
        </w:rPr>
        <w:t>équivalent d’acide gallique par g de matière sèche</w:t>
      </w:r>
      <w:r w:rsidR="00030706">
        <w:rPr>
          <w:rFonts w:ascii="Times New Roman" w:hAnsi="Times New Roman" w:cs="Times New Roman"/>
          <w:sz w:val="20"/>
          <w:szCs w:val="20"/>
        </w:rPr>
        <w:t xml:space="preserve"> (mg </w:t>
      </w:r>
      <w:r w:rsidR="00E442E3">
        <w:rPr>
          <w:rFonts w:ascii="Times New Roman" w:hAnsi="Times New Roman" w:cs="Times New Roman"/>
          <w:sz w:val="20"/>
          <w:szCs w:val="20"/>
        </w:rPr>
        <w:t>E</w:t>
      </w:r>
      <w:r w:rsidR="00030706">
        <w:rPr>
          <w:rFonts w:ascii="Times New Roman" w:hAnsi="Times New Roman" w:cs="Times New Roman"/>
          <w:sz w:val="20"/>
          <w:szCs w:val="20"/>
        </w:rPr>
        <w:t>AG/g MS)</w:t>
      </w:r>
      <w:r w:rsidR="0083717A" w:rsidRPr="005C3605">
        <w:rPr>
          <w:rFonts w:ascii="Times New Roman" w:hAnsi="Times New Roman" w:cs="Times New Roman"/>
          <w:sz w:val="20"/>
          <w:szCs w:val="20"/>
        </w:rPr>
        <w:t>.L</w:t>
      </w:r>
      <w:r w:rsidRPr="005C3605">
        <w:rPr>
          <w:rFonts w:ascii="Times New Roman" w:hAnsi="Times New Roman" w:cs="Times New Roman"/>
          <w:sz w:val="20"/>
          <w:szCs w:val="20"/>
        </w:rPr>
        <w:t>’a</w:t>
      </w:r>
      <w:r w:rsidR="00224E6C" w:rsidRPr="005C3605">
        <w:rPr>
          <w:rFonts w:ascii="Times New Roman" w:hAnsi="Times New Roman" w:cs="Times New Roman"/>
          <w:sz w:val="20"/>
          <w:szCs w:val="20"/>
        </w:rPr>
        <w:t>ctivité antioxyda</w:t>
      </w:r>
      <w:bookmarkEnd w:id="3"/>
      <w:r w:rsidRPr="005C3605">
        <w:rPr>
          <w:rFonts w:ascii="Times New Roman" w:hAnsi="Times New Roman" w:cs="Times New Roman"/>
          <w:sz w:val="20"/>
          <w:szCs w:val="20"/>
        </w:rPr>
        <w:t>nte</w:t>
      </w:r>
      <w:r w:rsidR="00030706">
        <w:rPr>
          <w:rFonts w:ascii="Times New Roman" w:hAnsi="Times New Roman" w:cs="Times New Roman"/>
          <w:sz w:val="20"/>
          <w:szCs w:val="20"/>
        </w:rPr>
        <w:t xml:space="preserve">(AA) </w:t>
      </w:r>
      <w:r w:rsidR="0083717A" w:rsidRPr="005C3605">
        <w:rPr>
          <w:rFonts w:ascii="Times New Roman" w:hAnsi="Times New Roman" w:cs="Times New Roman"/>
          <w:sz w:val="20"/>
          <w:szCs w:val="20"/>
        </w:rPr>
        <w:t>est déterminée</w:t>
      </w:r>
      <w:r w:rsidR="00224E6C" w:rsidRPr="005C3605">
        <w:rPr>
          <w:rFonts w:ascii="Times New Roman" w:hAnsi="Times New Roman" w:cs="Times New Roman"/>
          <w:sz w:val="20"/>
          <w:szCs w:val="20"/>
        </w:rPr>
        <w:t xml:space="preserve"> en utilisant le test DPPH</w:t>
      </w:r>
      <w:r w:rsidR="00F63A0A" w:rsidRPr="005C3605">
        <w:rPr>
          <w:rFonts w:ascii="Times New Roman" w:hAnsi="Times New Roman" w:cs="Times New Roman"/>
          <w:sz w:val="20"/>
          <w:szCs w:val="20"/>
        </w:rPr>
        <w:t xml:space="preserve"> [</w:t>
      </w:r>
      <w:r w:rsidR="00654DE6">
        <w:rPr>
          <w:rFonts w:ascii="Times New Roman" w:hAnsi="Times New Roman" w:cs="Times New Roman"/>
          <w:sz w:val="20"/>
          <w:szCs w:val="20"/>
        </w:rPr>
        <w:t>2</w:t>
      </w:r>
      <w:r w:rsidR="00ED33FA">
        <w:rPr>
          <w:rFonts w:ascii="Times New Roman" w:hAnsi="Times New Roman" w:cs="Times New Roman"/>
          <w:sz w:val="20"/>
          <w:szCs w:val="20"/>
        </w:rPr>
        <w:t>5</w:t>
      </w:r>
      <w:r w:rsidR="00F63A0A" w:rsidRPr="005C3605">
        <w:rPr>
          <w:rFonts w:ascii="Times New Roman" w:hAnsi="Times New Roman" w:cs="Times New Roman"/>
          <w:sz w:val="20"/>
          <w:szCs w:val="20"/>
        </w:rPr>
        <w:t>]</w:t>
      </w:r>
      <w:r w:rsidR="00BE2C06" w:rsidRPr="005C3605">
        <w:rPr>
          <w:rFonts w:ascii="Times New Roman" w:hAnsi="Times New Roman" w:cs="Times New Roman"/>
          <w:sz w:val="20"/>
          <w:szCs w:val="20"/>
        </w:rPr>
        <w:t>.</w:t>
      </w:r>
      <w:r w:rsidR="00224E6C" w:rsidRPr="005C3605">
        <w:rPr>
          <w:rFonts w:ascii="Times New Roman" w:hAnsi="Times New Roman" w:cs="Times New Roman"/>
          <w:sz w:val="20"/>
          <w:szCs w:val="20"/>
        </w:rPr>
        <w:t>L’activité antiradicalaire est calculée</w:t>
      </w:r>
      <w:r w:rsidR="00FE51EB" w:rsidRPr="005C3605">
        <w:rPr>
          <w:rFonts w:ascii="Times New Roman" w:hAnsi="Times New Roman" w:cs="Times New Roman"/>
          <w:sz w:val="20"/>
          <w:szCs w:val="20"/>
        </w:rPr>
        <w:t xml:space="preserve"> à partir de la formule</w:t>
      </w:r>
      <w:r w:rsidR="00224E6C" w:rsidRPr="005C3605">
        <w:rPr>
          <w:rFonts w:ascii="Times New Roman" w:hAnsi="Times New Roman" w:cs="Times New Roman"/>
          <w:sz w:val="20"/>
          <w:szCs w:val="20"/>
        </w:rPr>
        <w:t> :</w:t>
      </w:r>
    </w:p>
    <w:p w:rsidR="00224E6C" w:rsidRPr="005C3605" w:rsidRDefault="005F6B3F" w:rsidP="0083717A">
      <w:pPr>
        <w:pStyle w:val="Titre2"/>
        <w:spacing w:before="0"/>
        <w:contextualSpacing/>
        <w:rPr>
          <w:rFonts w:ascii="Times New Roman" w:hAnsi="Times New Roman" w:cs="Times New Roman"/>
          <w:bCs w:val="0"/>
          <w:color w:val="auto"/>
          <w:sz w:val="20"/>
          <w:szCs w:val="20"/>
        </w:rPr>
      </w:pPr>
      <m:oMathPara>
        <m:oMath>
          <m:r>
            <m:rPr>
              <m:sty m:val="b"/>
            </m:rPr>
            <w:rPr>
              <w:rFonts w:ascii="Cambria Math" w:hAnsi="Cambria Math" w:cs="Times New Roman"/>
              <w:color w:val="auto"/>
              <w:sz w:val="20"/>
            </w:rPr>
            <w:lastRenderedPageBreak/>
            <m:t xml:space="preserve">AA </m:t>
          </m:r>
          <m:d>
            <m:dPr>
              <m:ctrlPr>
                <w:rPr>
                  <w:rFonts w:ascii="Cambria Math" w:hAnsi="Cambria Math" w:cs="Times New Roman"/>
                  <w:b w:val="0"/>
                  <w:color w:val="auto"/>
                  <w:sz w:val="20"/>
                  <w:szCs w:val="20"/>
                </w:rPr>
              </m:ctrlPr>
            </m:dPr>
            <m:e>
              <m:r>
                <m:rPr>
                  <m:sty m:val="b"/>
                </m:rPr>
                <w:rPr>
                  <w:rFonts w:ascii="Cambria Math" w:hAnsi="Cambria Math" w:cs="Times New Roman"/>
                  <w:color w:val="auto"/>
                  <w:sz w:val="20"/>
                </w:rPr>
                <m:t>%</m:t>
              </m:r>
            </m:e>
          </m:d>
          <m:r>
            <m:rPr>
              <m:sty m:val="b"/>
            </m:rPr>
            <w:rPr>
              <w:rFonts w:ascii="Cambria Math" w:hAnsi="Cambria Math" w:cs="Times New Roman"/>
              <w:color w:val="auto"/>
              <w:sz w:val="20"/>
            </w:rPr>
            <m:t xml:space="preserve">= </m:t>
          </m:r>
          <m:f>
            <m:fPr>
              <m:ctrlPr>
                <w:rPr>
                  <w:rFonts w:ascii="Cambria Math" w:hAnsi="Cambria Math" w:cs="Times New Roman"/>
                  <w:b w:val="0"/>
                  <w:color w:val="auto"/>
                  <w:sz w:val="20"/>
                  <w:szCs w:val="20"/>
                </w:rPr>
              </m:ctrlPr>
            </m:fPr>
            <m:num>
              <m:r>
                <m:rPr>
                  <m:sty m:val="b"/>
                </m:rPr>
                <w:rPr>
                  <w:rFonts w:ascii="Cambria Math" w:hAnsi="Cambria Math" w:cs="Times New Roman"/>
                  <w:color w:val="auto"/>
                  <w:sz w:val="20"/>
                </w:rPr>
                <m:t xml:space="preserve">Abs </m:t>
              </m:r>
              <m:d>
                <m:dPr>
                  <m:ctrlPr>
                    <w:rPr>
                      <w:rFonts w:ascii="Cambria Math" w:hAnsi="Cambria Math" w:cs="Times New Roman"/>
                      <w:b w:val="0"/>
                      <w:color w:val="auto"/>
                      <w:sz w:val="20"/>
                      <w:szCs w:val="20"/>
                    </w:rPr>
                  </m:ctrlPr>
                </m:dPr>
                <m:e>
                  <m:r>
                    <m:rPr>
                      <m:sty m:val="b"/>
                    </m:rPr>
                    <w:rPr>
                      <w:rFonts w:ascii="Cambria Math" w:hAnsi="Cambria Math" w:cs="Times New Roman"/>
                      <w:color w:val="auto"/>
                      <w:sz w:val="20"/>
                    </w:rPr>
                    <m:t>blanc</m:t>
                  </m:r>
                </m:e>
              </m:d>
              <m:r>
                <m:rPr>
                  <m:sty m:val="b"/>
                </m:rPr>
                <w:rPr>
                  <w:rFonts w:ascii="Cambria Math" w:hAnsi="Cambria Math" w:cs="Times New Roman"/>
                  <w:color w:val="auto"/>
                  <w:sz w:val="20"/>
                </w:rPr>
                <m:t>-  Abs (échantillon)</m:t>
              </m:r>
            </m:num>
            <m:den>
              <m:r>
                <m:rPr>
                  <m:sty m:val="b"/>
                </m:rPr>
                <w:rPr>
                  <w:rFonts w:ascii="Cambria Math" w:hAnsi="Cambria Math" w:cs="Times New Roman"/>
                  <w:color w:val="auto"/>
                  <w:sz w:val="20"/>
                </w:rPr>
                <m:t>Abs (blanc)</m:t>
              </m:r>
            </m:den>
          </m:f>
        </m:oMath>
      </m:oMathPara>
    </w:p>
    <w:p w:rsidR="00224E6C" w:rsidRPr="005C3605" w:rsidRDefault="00654DE6" w:rsidP="00FE51EB">
      <w:pPr>
        <w:pStyle w:val="Para"/>
        <w:spacing w:before="0" w:after="0" w:line="240" w:lineRule="auto"/>
        <w:contextualSpacing/>
        <w:rPr>
          <w:iCs/>
          <w:sz w:val="20"/>
        </w:rPr>
      </w:pPr>
      <w:r>
        <w:rPr>
          <w:iCs/>
          <w:sz w:val="20"/>
        </w:rPr>
        <w:t>AA : activité antiradicalaire</w:t>
      </w:r>
      <w:r w:rsidR="00224E6C" w:rsidRPr="005C3605">
        <w:rPr>
          <w:iCs/>
          <w:sz w:val="20"/>
        </w:rPr>
        <w:t xml:space="preserve"> en %.</w:t>
      </w:r>
    </w:p>
    <w:p w:rsidR="00224E6C" w:rsidRPr="005C3605" w:rsidRDefault="00224E6C" w:rsidP="00FE51EB">
      <w:pPr>
        <w:pStyle w:val="Para"/>
        <w:spacing w:before="0" w:after="0" w:line="240" w:lineRule="auto"/>
        <w:contextualSpacing/>
        <w:rPr>
          <w:iCs/>
          <w:sz w:val="20"/>
        </w:rPr>
      </w:pPr>
      <w:r w:rsidRPr="005C3605">
        <w:rPr>
          <w:iCs/>
          <w:sz w:val="20"/>
        </w:rPr>
        <w:t>Abs (blanc) : absorbance du DPPH dissout dans le méthanol.</w:t>
      </w:r>
    </w:p>
    <w:p w:rsidR="00224E6C" w:rsidRPr="005C3605" w:rsidRDefault="00224E6C" w:rsidP="005F6B3F">
      <w:pPr>
        <w:pStyle w:val="Para"/>
        <w:spacing w:before="240" w:after="240" w:line="240" w:lineRule="auto"/>
        <w:contextualSpacing/>
        <w:rPr>
          <w:iCs/>
          <w:sz w:val="20"/>
        </w:rPr>
      </w:pPr>
      <w:r w:rsidRPr="005C3605">
        <w:rPr>
          <w:iCs/>
          <w:sz w:val="20"/>
        </w:rPr>
        <w:t>Abs (échantillon) : absorbance de l’échantillon (huile essentielle, hydrolat ou extrait)</w:t>
      </w:r>
      <w:r w:rsidR="00F63A0A" w:rsidRPr="005C3605">
        <w:rPr>
          <w:iCs/>
          <w:sz w:val="20"/>
        </w:rPr>
        <w:t xml:space="preserve"> dans le méthanol</w:t>
      </w:r>
      <w:r w:rsidRPr="005C3605">
        <w:rPr>
          <w:iCs/>
          <w:sz w:val="20"/>
        </w:rPr>
        <w:t>.</w:t>
      </w:r>
    </w:p>
    <w:p w:rsidR="00F63A0A" w:rsidRPr="005C3605" w:rsidRDefault="00F63A0A" w:rsidP="00E00C18">
      <w:pPr>
        <w:pStyle w:val="Para"/>
        <w:spacing w:before="0" w:after="0" w:line="240" w:lineRule="auto"/>
        <w:contextualSpacing/>
        <w:rPr>
          <w:sz w:val="20"/>
        </w:rPr>
      </w:pPr>
      <w:r w:rsidRPr="005C3605">
        <w:rPr>
          <w:sz w:val="20"/>
        </w:rPr>
        <w:t>Toutes les mesures sont effectuées trois fois, les valeurs de l’activité antioxydante (IC</w:t>
      </w:r>
      <w:r w:rsidR="006C56BD">
        <w:rPr>
          <w:sz w:val="20"/>
          <w:vertAlign w:val="subscript"/>
        </w:rPr>
        <w:t xml:space="preserve">50, </w:t>
      </w:r>
      <w:r w:rsidR="006C56BD">
        <w:rPr>
          <w:sz w:val="20"/>
        </w:rPr>
        <w:t>AA%) et l</w:t>
      </w:r>
      <w:r w:rsidRPr="005C3605">
        <w:rPr>
          <w:sz w:val="20"/>
        </w:rPr>
        <w:t>es teneurs en polyphénols</w:t>
      </w:r>
      <w:r w:rsidR="0083717A" w:rsidRPr="005C3605">
        <w:rPr>
          <w:sz w:val="20"/>
        </w:rPr>
        <w:t xml:space="preserve"> totaux TPT</w:t>
      </w:r>
      <w:r w:rsidRPr="005C3605">
        <w:rPr>
          <w:sz w:val="20"/>
        </w:rPr>
        <w:t xml:space="preserve"> sont exprimées sous la forme : valeur moyenne ± déviation standard.</w:t>
      </w:r>
    </w:p>
    <w:p w:rsidR="005C3605" w:rsidRPr="005C3605" w:rsidRDefault="00030706" w:rsidP="00E00C18">
      <w:pPr>
        <w:pStyle w:val="Titre2"/>
        <w:keepLines w:val="0"/>
        <w:numPr>
          <w:ilvl w:val="1"/>
          <w:numId w:val="0"/>
        </w:numPr>
        <w:spacing w:before="150" w:after="60"/>
        <w:ind w:left="578" w:hanging="578"/>
        <w:contextualSpacing/>
        <w:rPr>
          <w:rFonts w:ascii="Times New Roman" w:hAnsi="Times New Roman" w:cs="Times New Roman"/>
          <w:b w:val="0"/>
          <w:i/>
          <w:color w:val="auto"/>
          <w:sz w:val="20"/>
          <w:szCs w:val="20"/>
        </w:rPr>
      </w:pPr>
      <w:r>
        <w:rPr>
          <w:rFonts w:ascii="Times New Roman" w:hAnsi="Times New Roman" w:cs="Times New Roman"/>
          <w:b w:val="0"/>
          <w:i/>
          <w:color w:val="auto"/>
          <w:sz w:val="20"/>
          <w:szCs w:val="20"/>
        </w:rPr>
        <w:t>B. P</w:t>
      </w:r>
      <w:r w:rsidR="003B2C45" w:rsidRPr="005C3605">
        <w:rPr>
          <w:rFonts w:ascii="Times New Roman" w:hAnsi="Times New Roman" w:cs="Times New Roman"/>
          <w:b w:val="0"/>
          <w:i/>
          <w:color w:val="auto"/>
          <w:sz w:val="20"/>
          <w:szCs w:val="20"/>
        </w:rPr>
        <w:t>rocédés d’extraction</w:t>
      </w:r>
    </w:p>
    <w:p w:rsidR="00BE2C06" w:rsidRPr="00FA146E" w:rsidRDefault="00FA146E" w:rsidP="00FA146E">
      <w:pPr>
        <w:pStyle w:val="Titre2"/>
        <w:keepLines w:val="0"/>
        <w:spacing w:before="0"/>
        <w:contextualSpacing/>
        <w:rPr>
          <w:rFonts w:ascii="Times New Roman" w:hAnsi="Times New Roman" w:cs="Times New Roman"/>
          <w:b w:val="0"/>
          <w:i/>
          <w:color w:val="auto"/>
          <w:sz w:val="20"/>
          <w:szCs w:val="20"/>
        </w:rPr>
      </w:pPr>
      <w:r>
        <w:rPr>
          <w:rFonts w:ascii="Times New Roman" w:hAnsi="Times New Roman" w:cs="Times New Roman"/>
          <w:b w:val="0"/>
          <w:i/>
          <w:color w:val="auto"/>
          <w:sz w:val="20"/>
          <w:szCs w:val="20"/>
        </w:rPr>
        <w:t xml:space="preserve">1) </w:t>
      </w:r>
      <w:r w:rsidR="00654DE6" w:rsidRPr="00FA146E">
        <w:rPr>
          <w:rFonts w:ascii="Times New Roman" w:hAnsi="Times New Roman" w:cs="Times New Roman"/>
          <w:b w:val="0"/>
          <w:i/>
          <w:color w:val="auto"/>
          <w:sz w:val="20"/>
          <w:szCs w:val="20"/>
        </w:rPr>
        <w:t>L’entrainement</w:t>
      </w:r>
      <w:r w:rsidR="00F63A0A" w:rsidRPr="00FA146E">
        <w:rPr>
          <w:rFonts w:ascii="Times New Roman" w:hAnsi="Times New Roman" w:cs="Times New Roman"/>
          <w:b w:val="0"/>
          <w:i/>
          <w:color w:val="auto"/>
          <w:sz w:val="20"/>
          <w:szCs w:val="20"/>
        </w:rPr>
        <w:t xml:space="preserve"> à la vapeur d’eau</w:t>
      </w:r>
      <w:r w:rsidRPr="00FA146E">
        <w:rPr>
          <w:rFonts w:ascii="Times New Roman" w:hAnsi="Times New Roman" w:cs="Times New Roman"/>
          <w:b w:val="0"/>
          <w:i/>
          <w:color w:val="auto"/>
          <w:sz w:val="20"/>
          <w:szCs w:val="20"/>
        </w:rPr>
        <w:t xml:space="preserve"> : </w:t>
      </w:r>
      <w:r>
        <w:rPr>
          <w:rFonts w:ascii="Times New Roman" w:hAnsi="Times New Roman" w:cs="Times New Roman"/>
          <w:b w:val="0"/>
          <w:color w:val="auto"/>
          <w:sz w:val="20"/>
          <w:szCs w:val="20"/>
        </w:rPr>
        <w:t xml:space="preserve">Les essais sont </w:t>
      </w:r>
      <w:r w:rsidR="00BE2C06" w:rsidRPr="00FA146E">
        <w:rPr>
          <w:rFonts w:ascii="Times New Roman" w:hAnsi="Times New Roman" w:cs="Times New Roman"/>
          <w:b w:val="0"/>
          <w:color w:val="auto"/>
          <w:sz w:val="20"/>
          <w:szCs w:val="20"/>
        </w:rPr>
        <w:t xml:space="preserve">réalisés en plaçant </w:t>
      </w:r>
      <w:r w:rsidR="009E6250" w:rsidRPr="00FA146E">
        <w:rPr>
          <w:rFonts w:ascii="Times New Roman" w:hAnsi="Times New Roman" w:cs="Times New Roman"/>
          <w:b w:val="0"/>
          <w:color w:val="auto"/>
          <w:sz w:val="20"/>
          <w:szCs w:val="20"/>
        </w:rPr>
        <w:t>une masse de feuilles connue</w:t>
      </w:r>
      <w:r w:rsidR="00F16299" w:rsidRPr="00FA146E">
        <w:rPr>
          <w:rFonts w:ascii="Times New Roman" w:hAnsi="Times New Roman" w:cs="Times New Roman"/>
          <w:b w:val="0"/>
          <w:color w:val="auto"/>
          <w:sz w:val="20"/>
          <w:szCs w:val="20"/>
        </w:rPr>
        <w:t xml:space="preserve"> (8 à 20g)</w:t>
      </w:r>
      <w:r w:rsidR="0083717A" w:rsidRPr="00FA146E">
        <w:rPr>
          <w:rFonts w:ascii="Times New Roman" w:hAnsi="Times New Roman" w:cs="Times New Roman"/>
          <w:b w:val="0"/>
          <w:color w:val="auto"/>
          <w:sz w:val="20"/>
          <w:szCs w:val="20"/>
        </w:rPr>
        <w:t>,</w:t>
      </w:r>
      <w:r w:rsidR="009E6250" w:rsidRPr="00FA146E">
        <w:rPr>
          <w:rFonts w:ascii="Times New Roman" w:hAnsi="Times New Roman" w:cs="Times New Roman"/>
          <w:b w:val="0"/>
          <w:color w:val="auto"/>
          <w:sz w:val="20"/>
          <w:szCs w:val="20"/>
        </w:rPr>
        <w:t xml:space="preserve"> ayant une humidité évaluée au préalable</w:t>
      </w:r>
      <w:r w:rsidR="00030706" w:rsidRPr="00FA146E">
        <w:rPr>
          <w:rFonts w:ascii="Times New Roman" w:hAnsi="Times New Roman" w:cs="Times New Roman"/>
          <w:b w:val="0"/>
          <w:color w:val="auto"/>
          <w:sz w:val="20"/>
          <w:szCs w:val="20"/>
        </w:rPr>
        <w:t xml:space="preserve"> (19,</w:t>
      </w:r>
      <w:r w:rsidR="006E638B" w:rsidRPr="00FA146E">
        <w:rPr>
          <w:rFonts w:ascii="Times New Roman" w:hAnsi="Times New Roman" w:cs="Times New Roman"/>
          <w:b w:val="0"/>
          <w:color w:val="auto"/>
          <w:sz w:val="20"/>
          <w:szCs w:val="20"/>
        </w:rPr>
        <w:t>5 à 79</w:t>
      </w:r>
      <w:r w:rsidR="00030706" w:rsidRPr="00FA146E">
        <w:rPr>
          <w:rFonts w:ascii="Times New Roman" w:hAnsi="Times New Roman" w:cs="Times New Roman"/>
          <w:b w:val="0"/>
          <w:color w:val="auto"/>
          <w:sz w:val="20"/>
          <w:szCs w:val="20"/>
        </w:rPr>
        <w:t>,</w:t>
      </w:r>
      <w:r w:rsidR="006E638B" w:rsidRPr="00FA146E">
        <w:rPr>
          <w:rFonts w:ascii="Times New Roman" w:hAnsi="Times New Roman" w:cs="Times New Roman"/>
          <w:b w:val="0"/>
          <w:color w:val="auto"/>
          <w:sz w:val="20"/>
          <w:szCs w:val="20"/>
        </w:rPr>
        <w:t>5%)</w:t>
      </w:r>
      <w:r w:rsidR="0083717A" w:rsidRPr="00FA146E">
        <w:rPr>
          <w:rFonts w:ascii="Times New Roman" w:hAnsi="Times New Roman" w:cs="Times New Roman"/>
          <w:b w:val="0"/>
          <w:color w:val="auto"/>
          <w:sz w:val="20"/>
          <w:szCs w:val="20"/>
        </w:rPr>
        <w:t>,</w:t>
      </w:r>
      <w:r w:rsidR="009E6250" w:rsidRPr="00FA146E">
        <w:rPr>
          <w:rFonts w:ascii="Times New Roman" w:hAnsi="Times New Roman" w:cs="Times New Roman"/>
          <w:b w:val="0"/>
          <w:color w:val="auto"/>
          <w:sz w:val="20"/>
          <w:szCs w:val="20"/>
        </w:rPr>
        <w:t xml:space="preserve"> dans une colonne calor</w:t>
      </w:r>
      <w:r w:rsidR="0083717A" w:rsidRPr="00FA146E">
        <w:rPr>
          <w:rFonts w:ascii="Times New Roman" w:hAnsi="Times New Roman" w:cs="Times New Roman"/>
          <w:b w:val="0"/>
          <w:color w:val="auto"/>
          <w:sz w:val="20"/>
          <w:szCs w:val="20"/>
        </w:rPr>
        <w:t>ifugée, la vapeur d’eau alimente</w:t>
      </w:r>
      <w:r w:rsidR="009E6250" w:rsidRPr="00FA146E">
        <w:rPr>
          <w:rFonts w:ascii="Times New Roman" w:hAnsi="Times New Roman" w:cs="Times New Roman"/>
          <w:b w:val="0"/>
          <w:color w:val="auto"/>
          <w:sz w:val="20"/>
          <w:szCs w:val="20"/>
        </w:rPr>
        <w:t xml:space="preserve"> la colon</w:t>
      </w:r>
      <w:r w:rsidR="00F16299" w:rsidRPr="00FA146E">
        <w:rPr>
          <w:rFonts w:ascii="Times New Roman" w:hAnsi="Times New Roman" w:cs="Times New Roman"/>
          <w:b w:val="0"/>
          <w:color w:val="auto"/>
          <w:sz w:val="20"/>
          <w:szCs w:val="20"/>
        </w:rPr>
        <w:t>ne pa</w:t>
      </w:r>
      <w:r w:rsidR="00030706" w:rsidRPr="00FA146E">
        <w:rPr>
          <w:rFonts w:ascii="Times New Roman" w:hAnsi="Times New Roman" w:cs="Times New Roman"/>
          <w:b w:val="0"/>
          <w:color w:val="auto"/>
          <w:sz w:val="20"/>
          <w:szCs w:val="20"/>
        </w:rPr>
        <w:t>r le bas avec un débit moyen (4,5 à 18,</w:t>
      </w:r>
      <w:r w:rsidR="00F16299" w:rsidRPr="00FA146E">
        <w:rPr>
          <w:rFonts w:ascii="Times New Roman" w:hAnsi="Times New Roman" w:cs="Times New Roman"/>
          <w:b w:val="0"/>
          <w:color w:val="auto"/>
          <w:sz w:val="20"/>
          <w:szCs w:val="20"/>
        </w:rPr>
        <w:t>4 mL/mn)</w:t>
      </w:r>
      <w:r w:rsidR="009E6250" w:rsidRPr="00FA146E">
        <w:rPr>
          <w:rFonts w:ascii="Times New Roman" w:hAnsi="Times New Roman" w:cs="Times New Roman"/>
          <w:b w:val="0"/>
          <w:color w:val="auto"/>
          <w:sz w:val="20"/>
          <w:szCs w:val="20"/>
        </w:rPr>
        <w:t xml:space="preserve"> avec </w:t>
      </w:r>
      <w:r w:rsidR="00654DE6" w:rsidRPr="00FA146E">
        <w:rPr>
          <w:rFonts w:ascii="Times New Roman" w:hAnsi="Times New Roman" w:cs="Times New Roman"/>
          <w:b w:val="0"/>
          <w:color w:val="auto"/>
          <w:sz w:val="20"/>
          <w:szCs w:val="20"/>
        </w:rPr>
        <w:t xml:space="preserve">un </w:t>
      </w:r>
      <w:r w:rsidR="009E6250" w:rsidRPr="00FA146E">
        <w:rPr>
          <w:rFonts w:ascii="Times New Roman" w:hAnsi="Times New Roman" w:cs="Times New Roman"/>
          <w:b w:val="0"/>
          <w:color w:val="auto"/>
          <w:sz w:val="20"/>
          <w:szCs w:val="20"/>
        </w:rPr>
        <w:t>système de cohobage  durant 5h.</w:t>
      </w:r>
    </w:p>
    <w:p w:rsidR="009E6250" w:rsidRPr="00FE51EB" w:rsidRDefault="00FA146E" w:rsidP="00FA146E">
      <w:pPr>
        <w:spacing w:before="150" w:after="60"/>
        <w:rPr>
          <w:rFonts w:ascii="Times New Roman" w:hAnsi="Times New Roman" w:cs="Times New Roman"/>
          <w:sz w:val="20"/>
          <w:szCs w:val="20"/>
        </w:rPr>
      </w:pPr>
      <w:r>
        <w:rPr>
          <w:rFonts w:ascii="Times New Roman" w:hAnsi="Times New Roman" w:cs="Times New Roman"/>
          <w:i/>
          <w:sz w:val="20"/>
          <w:szCs w:val="20"/>
        </w:rPr>
        <w:t>2) L</w:t>
      </w:r>
      <w:r w:rsidR="00F63A0A" w:rsidRPr="00FA146E">
        <w:rPr>
          <w:rFonts w:ascii="Times New Roman" w:hAnsi="Times New Roman" w:cs="Times New Roman"/>
          <w:i/>
          <w:sz w:val="20"/>
          <w:szCs w:val="20"/>
        </w:rPr>
        <w:t>’hydrodistillation</w:t>
      </w:r>
      <w:r>
        <w:rPr>
          <w:rFonts w:ascii="Times New Roman" w:hAnsi="Times New Roman" w:cs="Times New Roman"/>
          <w:i/>
          <w:sz w:val="20"/>
          <w:szCs w:val="20"/>
        </w:rPr>
        <w:t xml:space="preserve"> : </w:t>
      </w:r>
      <w:r w:rsidR="009E6250" w:rsidRPr="00FE51EB">
        <w:rPr>
          <w:rFonts w:ascii="Times New Roman" w:hAnsi="Times New Roman" w:cs="Times New Roman"/>
          <w:sz w:val="20"/>
          <w:szCs w:val="20"/>
        </w:rPr>
        <w:t>Les essais sont réalisés en immergent une masse de feuilles connue</w:t>
      </w:r>
      <w:r w:rsidR="00030706">
        <w:rPr>
          <w:rFonts w:ascii="Times New Roman" w:hAnsi="Times New Roman" w:cs="Times New Roman"/>
          <w:sz w:val="20"/>
          <w:szCs w:val="20"/>
        </w:rPr>
        <w:t xml:space="preserve"> (23,7 à 36,</w:t>
      </w:r>
      <w:r w:rsidR="00F16299">
        <w:rPr>
          <w:rFonts w:ascii="Times New Roman" w:hAnsi="Times New Roman" w:cs="Times New Roman"/>
          <w:sz w:val="20"/>
          <w:szCs w:val="20"/>
        </w:rPr>
        <w:t>7g)</w:t>
      </w:r>
      <w:r w:rsidR="009E6250" w:rsidRPr="00FE51EB">
        <w:rPr>
          <w:rFonts w:ascii="Times New Roman" w:hAnsi="Times New Roman" w:cs="Times New Roman"/>
          <w:sz w:val="20"/>
          <w:szCs w:val="20"/>
        </w:rPr>
        <w:t xml:space="preserve"> ayant une humidité évaluée au préalable</w:t>
      </w:r>
      <w:r w:rsidR="00030706">
        <w:rPr>
          <w:rFonts w:ascii="Times New Roman" w:hAnsi="Times New Roman" w:cs="Times New Roman"/>
          <w:sz w:val="20"/>
          <w:szCs w:val="20"/>
        </w:rPr>
        <w:t xml:space="preserve"> (21,</w:t>
      </w:r>
      <w:r w:rsidR="00F16299">
        <w:rPr>
          <w:rFonts w:ascii="Times New Roman" w:hAnsi="Times New Roman" w:cs="Times New Roman"/>
          <w:sz w:val="20"/>
          <w:szCs w:val="20"/>
        </w:rPr>
        <w:t>7 à 74%)</w:t>
      </w:r>
      <w:r w:rsidR="009E6250" w:rsidRPr="00FE51EB">
        <w:rPr>
          <w:rFonts w:ascii="Times New Roman" w:hAnsi="Times New Roman" w:cs="Times New Roman"/>
          <w:sz w:val="20"/>
          <w:szCs w:val="20"/>
        </w:rPr>
        <w:t xml:space="preserve"> dans un volume d’eau</w:t>
      </w:r>
      <w:r w:rsidR="00F16299">
        <w:rPr>
          <w:rFonts w:ascii="Times New Roman" w:hAnsi="Times New Roman" w:cs="Times New Roman"/>
          <w:sz w:val="20"/>
          <w:szCs w:val="20"/>
        </w:rPr>
        <w:t xml:space="preserve"> (4L)</w:t>
      </w:r>
      <w:r w:rsidR="009E6250" w:rsidRPr="00FE51EB">
        <w:rPr>
          <w:rFonts w:ascii="Times New Roman" w:hAnsi="Times New Roman" w:cs="Times New Roman"/>
          <w:sz w:val="20"/>
          <w:szCs w:val="20"/>
        </w:rPr>
        <w:t xml:space="preserve"> portée à ébullition</w:t>
      </w:r>
      <w:r w:rsidR="00030706">
        <w:rPr>
          <w:rFonts w:ascii="Times New Roman" w:hAnsi="Times New Roman" w:cs="Times New Roman"/>
          <w:sz w:val="20"/>
          <w:szCs w:val="20"/>
        </w:rPr>
        <w:t xml:space="preserve"> avec un débit moyen (12 à 18,</w:t>
      </w:r>
      <w:r w:rsidR="008A348C">
        <w:rPr>
          <w:rFonts w:ascii="Times New Roman" w:hAnsi="Times New Roman" w:cs="Times New Roman"/>
          <w:sz w:val="20"/>
          <w:szCs w:val="20"/>
        </w:rPr>
        <w:t>1mL/mn)</w:t>
      </w:r>
      <w:r w:rsidR="009E6250" w:rsidRPr="00FE51EB">
        <w:rPr>
          <w:rFonts w:ascii="Times New Roman" w:hAnsi="Times New Roman" w:cs="Times New Roman"/>
          <w:sz w:val="20"/>
          <w:szCs w:val="20"/>
        </w:rPr>
        <w:t>, les essais sont réalisés avec un système de cohobage durant 5h.</w:t>
      </w:r>
    </w:p>
    <w:p w:rsidR="003B2C45" w:rsidRPr="003B2C45" w:rsidRDefault="00FA146E" w:rsidP="00FA146E">
      <w:pPr>
        <w:spacing w:before="150" w:after="60"/>
        <w:rPr>
          <w:rFonts w:ascii="Times New Roman" w:hAnsi="Times New Roman" w:cs="Times New Roman"/>
          <w:sz w:val="20"/>
          <w:szCs w:val="20"/>
        </w:rPr>
      </w:pPr>
      <w:r>
        <w:rPr>
          <w:rFonts w:ascii="Times New Roman" w:hAnsi="Times New Roman" w:cs="Times New Roman"/>
          <w:i/>
          <w:sz w:val="20"/>
          <w:szCs w:val="20"/>
        </w:rPr>
        <w:t>3) L</w:t>
      </w:r>
      <w:r w:rsidR="00F63A0A" w:rsidRPr="00FA146E">
        <w:rPr>
          <w:rFonts w:ascii="Times New Roman" w:hAnsi="Times New Roman" w:cs="Times New Roman"/>
          <w:i/>
          <w:sz w:val="20"/>
          <w:szCs w:val="20"/>
        </w:rPr>
        <w:t>’hydrodiffusion</w:t>
      </w:r>
      <w:r>
        <w:rPr>
          <w:rFonts w:ascii="Times New Roman" w:hAnsi="Times New Roman" w:cs="Times New Roman"/>
          <w:i/>
          <w:sz w:val="20"/>
          <w:szCs w:val="20"/>
        </w:rPr>
        <w:t xml:space="preserve"> : </w:t>
      </w:r>
      <w:r w:rsidR="003B2C45" w:rsidRPr="003B2C45">
        <w:rPr>
          <w:rFonts w:ascii="Times New Roman" w:hAnsi="Times New Roman" w:cs="Times New Roman"/>
          <w:sz w:val="20"/>
          <w:szCs w:val="20"/>
        </w:rPr>
        <w:t>Les essais sont réalisés en plaçant une masse de feuilles connue</w:t>
      </w:r>
      <w:r w:rsidR="00E442E3">
        <w:rPr>
          <w:rFonts w:ascii="Times New Roman" w:hAnsi="Times New Roman" w:cs="Times New Roman"/>
          <w:sz w:val="20"/>
          <w:szCs w:val="20"/>
        </w:rPr>
        <w:t xml:space="preserve"> (10,</w:t>
      </w:r>
      <w:r w:rsidR="00F16299">
        <w:rPr>
          <w:rFonts w:ascii="Times New Roman" w:hAnsi="Times New Roman" w:cs="Times New Roman"/>
          <w:sz w:val="20"/>
          <w:szCs w:val="20"/>
        </w:rPr>
        <w:t>39g)</w:t>
      </w:r>
      <w:r w:rsidR="0083717A">
        <w:rPr>
          <w:rFonts w:ascii="Times New Roman" w:hAnsi="Times New Roman" w:cs="Times New Roman"/>
          <w:sz w:val="20"/>
          <w:szCs w:val="20"/>
        </w:rPr>
        <w:t>,</w:t>
      </w:r>
      <w:r w:rsidR="003B2C45" w:rsidRPr="003B2C45">
        <w:rPr>
          <w:rFonts w:ascii="Times New Roman" w:hAnsi="Times New Roman" w:cs="Times New Roman"/>
          <w:sz w:val="20"/>
          <w:szCs w:val="20"/>
        </w:rPr>
        <w:t xml:space="preserve"> ayant une humidité évaluée au préalable</w:t>
      </w:r>
      <w:r w:rsidR="00E442E3">
        <w:rPr>
          <w:rFonts w:ascii="Times New Roman" w:hAnsi="Times New Roman" w:cs="Times New Roman"/>
          <w:sz w:val="20"/>
          <w:szCs w:val="20"/>
        </w:rPr>
        <w:t xml:space="preserve"> (21,</w:t>
      </w:r>
      <w:r w:rsidR="00F16299">
        <w:rPr>
          <w:rFonts w:ascii="Times New Roman" w:hAnsi="Times New Roman" w:cs="Times New Roman"/>
          <w:sz w:val="20"/>
          <w:szCs w:val="20"/>
        </w:rPr>
        <w:t>7%)</w:t>
      </w:r>
      <w:r w:rsidR="0083717A">
        <w:rPr>
          <w:rFonts w:ascii="Times New Roman" w:hAnsi="Times New Roman" w:cs="Times New Roman"/>
          <w:sz w:val="20"/>
          <w:szCs w:val="20"/>
        </w:rPr>
        <w:t>,</w:t>
      </w:r>
      <w:r w:rsidR="003B2C45" w:rsidRPr="003B2C45">
        <w:rPr>
          <w:rFonts w:ascii="Times New Roman" w:hAnsi="Times New Roman" w:cs="Times New Roman"/>
          <w:sz w:val="20"/>
          <w:szCs w:val="20"/>
        </w:rPr>
        <w:t xml:space="preserve"> dans une colonne calor</w:t>
      </w:r>
      <w:r w:rsidR="0083717A">
        <w:rPr>
          <w:rFonts w:ascii="Times New Roman" w:hAnsi="Times New Roman" w:cs="Times New Roman"/>
          <w:sz w:val="20"/>
          <w:szCs w:val="20"/>
        </w:rPr>
        <w:t>ifugée, la vapeur d’eau alimente</w:t>
      </w:r>
      <w:r w:rsidR="003B2C45" w:rsidRPr="003B2C45">
        <w:rPr>
          <w:rFonts w:ascii="Times New Roman" w:hAnsi="Times New Roman" w:cs="Times New Roman"/>
          <w:sz w:val="20"/>
          <w:szCs w:val="20"/>
        </w:rPr>
        <w:t xml:space="preserve"> la colonn</w:t>
      </w:r>
      <w:r w:rsidR="00F16299">
        <w:rPr>
          <w:rFonts w:ascii="Times New Roman" w:hAnsi="Times New Roman" w:cs="Times New Roman"/>
          <w:sz w:val="20"/>
          <w:szCs w:val="20"/>
        </w:rPr>
        <w:t>e par le</w:t>
      </w:r>
      <w:r w:rsidR="00E442E3">
        <w:rPr>
          <w:rFonts w:ascii="Times New Roman" w:hAnsi="Times New Roman" w:cs="Times New Roman"/>
          <w:sz w:val="20"/>
          <w:szCs w:val="20"/>
        </w:rPr>
        <w:t xml:space="preserve"> haut avec un débit moyen de 10,</w:t>
      </w:r>
      <w:r w:rsidR="00F16299">
        <w:rPr>
          <w:rFonts w:ascii="Times New Roman" w:hAnsi="Times New Roman" w:cs="Times New Roman"/>
          <w:sz w:val="20"/>
          <w:szCs w:val="20"/>
        </w:rPr>
        <w:t>2mL/mn</w:t>
      </w:r>
      <w:r w:rsidR="003B2C45" w:rsidRPr="003B2C45">
        <w:rPr>
          <w:rFonts w:ascii="Times New Roman" w:hAnsi="Times New Roman" w:cs="Times New Roman"/>
          <w:sz w:val="20"/>
          <w:szCs w:val="20"/>
        </w:rPr>
        <w:t xml:space="preserve"> durant 5h.</w:t>
      </w:r>
    </w:p>
    <w:p w:rsidR="003B2C45" w:rsidRPr="00797D47" w:rsidRDefault="00FA146E" w:rsidP="00FA146E">
      <w:pPr>
        <w:spacing w:before="150" w:after="60"/>
        <w:rPr>
          <w:rFonts w:ascii="Times New Roman" w:hAnsi="Times New Roman" w:cs="Times New Roman"/>
          <w:i/>
          <w:sz w:val="20"/>
          <w:szCs w:val="20"/>
        </w:rPr>
      </w:pPr>
      <w:r>
        <w:rPr>
          <w:rFonts w:ascii="Times New Roman" w:hAnsi="Times New Roman" w:cs="Times New Roman"/>
          <w:i/>
          <w:sz w:val="20"/>
          <w:szCs w:val="20"/>
        </w:rPr>
        <w:t xml:space="preserve">4) </w:t>
      </w:r>
      <w:r w:rsidR="003B2C45" w:rsidRPr="00FA146E">
        <w:rPr>
          <w:rFonts w:ascii="Times New Roman" w:hAnsi="Times New Roman" w:cs="Times New Roman"/>
          <w:i/>
          <w:sz w:val="20"/>
          <w:szCs w:val="20"/>
        </w:rPr>
        <w:t>Extraction par solvants volatils</w:t>
      </w:r>
      <w:r>
        <w:rPr>
          <w:rFonts w:ascii="Times New Roman" w:hAnsi="Times New Roman" w:cs="Times New Roman"/>
          <w:i/>
          <w:sz w:val="20"/>
          <w:szCs w:val="20"/>
        </w:rPr>
        <w:t xml:space="preserve"> : </w:t>
      </w:r>
      <w:r w:rsidR="003B2C45" w:rsidRPr="00797D47">
        <w:rPr>
          <w:rFonts w:ascii="Times New Roman" w:hAnsi="Times New Roman" w:cs="Times New Roman"/>
          <w:sz w:val="20"/>
        </w:rPr>
        <w:t>Les essais d’extraction sont réalisés dans un soxhlet avec des solvants de différentes polarités</w:t>
      </w:r>
      <w:r w:rsidR="00F16299">
        <w:rPr>
          <w:rFonts w:ascii="Times New Roman" w:hAnsi="Times New Roman" w:cs="Times New Roman"/>
          <w:sz w:val="20"/>
        </w:rPr>
        <w:t xml:space="preserve"> (400mL)</w:t>
      </w:r>
      <w:r w:rsidR="003B2C45" w:rsidRPr="00797D47">
        <w:rPr>
          <w:rFonts w:ascii="Times New Roman" w:hAnsi="Times New Roman" w:cs="Times New Roman"/>
          <w:sz w:val="20"/>
        </w:rPr>
        <w:t> : méthanol, éthanol,</w:t>
      </w:r>
      <w:r w:rsidR="0083717A">
        <w:rPr>
          <w:rFonts w:ascii="Times New Roman" w:hAnsi="Times New Roman" w:cs="Times New Roman"/>
          <w:sz w:val="20"/>
        </w:rPr>
        <w:t xml:space="preserve"> acétone, acétate d’éthyle et </w:t>
      </w:r>
      <w:r w:rsidR="003B2C45" w:rsidRPr="00797D47">
        <w:rPr>
          <w:rFonts w:ascii="Times New Roman" w:hAnsi="Times New Roman" w:cs="Times New Roman"/>
          <w:sz w:val="20"/>
        </w:rPr>
        <w:t>hexane. Une masse de 8g a été utilisée pour chaque essai, l’humidité a été mesurée</w:t>
      </w:r>
      <w:r w:rsidR="00F16299">
        <w:rPr>
          <w:rFonts w:ascii="Times New Roman" w:hAnsi="Times New Roman" w:cs="Times New Roman"/>
          <w:sz w:val="20"/>
        </w:rPr>
        <w:t xml:space="preserve"> (13 à 17%)</w:t>
      </w:r>
      <w:r w:rsidR="003B2C45" w:rsidRPr="00797D47">
        <w:rPr>
          <w:rFonts w:ascii="Times New Roman" w:hAnsi="Times New Roman" w:cs="Times New Roman"/>
          <w:sz w:val="20"/>
        </w:rPr>
        <w:t xml:space="preserve"> et l’extraction a duré 8h.</w:t>
      </w:r>
    </w:p>
    <w:p w:rsidR="00FE51EB" w:rsidRPr="00F63A0A" w:rsidRDefault="00FE51EB" w:rsidP="00E00C18">
      <w:pPr>
        <w:pStyle w:val="Para"/>
        <w:tabs>
          <w:tab w:val="left" w:pos="1159"/>
        </w:tabs>
        <w:spacing w:before="180" w:after="60" w:line="240" w:lineRule="auto"/>
        <w:contextualSpacing/>
        <w:jc w:val="center"/>
        <w:rPr>
          <w:caps/>
          <w:sz w:val="20"/>
        </w:rPr>
      </w:pPr>
      <w:r>
        <w:rPr>
          <w:caps/>
          <w:sz w:val="20"/>
        </w:rPr>
        <w:t>RESULTATS EXPERIMENTAUX</w:t>
      </w:r>
    </w:p>
    <w:p w:rsidR="00224E6C" w:rsidRPr="003B2C45" w:rsidRDefault="003B2C45" w:rsidP="00FA146E">
      <w:pPr>
        <w:pStyle w:val="Para"/>
        <w:spacing w:before="150" w:after="60" w:line="240" w:lineRule="auto"/>
        <w:contextualSpacing/>
        <w:rPr>
          <w:bCs/>
          <w:i/>
          <w:sz w:val="20"/>
        </w:rPr>
      </w:pPr>
      <w:r w:rsidRPr="003B2C45">
        <w:rPr>
          <w:bCs/>
          <w:i/>
          <w:sz w:val="20"/>
        </w:rPr>
        <w:t>A Les huiles essentielles</w:t>
      </w:r>
    </w:p>
    <w:p w:rsidR="00224E6C" w:rsidRDefault="008A348C" w:rsidP="00FA146E">
      <w:pPr>
        <w:pStyle w:val="Para"/>
        <w:spacing w:line="240" w:lineRule="auto"/>
        <w:contextualSpacing/>
        <w:rPr>
          <w:sz w:val="20"/>
        </w:rPr>
      </w:pPr>
      <w:r>
        <w:rPr>
          <w:sz w:val="20"/>
        </w:rPr>
        <w:t>Bien que les rendements en huiles essentielles</w:t>
      </w:r>
      <w:r w:rsidR="00E442E3">
        <w:rPr>
          <w:sz w:val="20"/>
        </w:rPr>
        <w:t xml:space="preserve"> soient parfois très faibles (0,</w:t>
      </w:r>
      <w:r>
        <w:rPr>
          <w:sz w:val="20"/>
        </w:rPr>
        <w:t>44 à</w:t>
      </w:r>
      <w:r w:rsidR="00E442E3">
        <w:rPr>
          <w:sz w:val="20"/>
        </w:rPr>
        <w:t xml:space="preserve"> 2,15% pour EVE, 0,09 à 0,62% pour HD et 0,28% pour Hdiff.</w:t>
      </w:r>
      <w:r>
        <w:rPr>
          <w:sz w:val="20"/>
        </w:rPr>
        <w:t>), l</w:t>
      </w:r>
      <w:r w:rsidR="00224E6C" w:rsidRPr="001F72D4">
        <w:rPr>
          <w:sz w:val="20"/>
        </w:rPr>
        <w:t>’activité antioxydante des huiles essentielles</w:t>
      </w:r>
      <w:r w:rsidR="0083717A">
        <w:rPr>
          <w:sz w:val="20"/>
        </w:rPr>
        <w:t>, dilu</w:t>
      </w:r>
      <w:r w:rsidR="00654DE6">
        <w:rPr>
          <w:sz w:val="20"/>
        </w:rPr>
        <w:t>é</w:t>
      </w:r>
      <w:r w:rsidR="0083717A">
        <w:rPr>
          <w:sz w:val="20"/>
        </w:rPr>
        <w:t>e</w:t>
      </w:r>
      <w:r w:rsidR="00654DE6">
        <w:rPr>
          <w:sz w:val="20"/>
        </w:rPr>
        <w:t>s</w:t>
      </w:r>
      <w:r w:rsidR="0083717A" w:rsidRPr="001F72D4">
        <w:rPr>
          <w:sz w:val="20"/>
        </w:rPr>
        <w:t xml:space="preserve"> dans 5mL de méthanol</w:t>
      </w:r>
      <w:r w:rsidR="00224E6C" w:rsidRPr="001F72D4">
        <w:rPr>
          <w:sz w:val="20"/>
        </w:rPr>
        <w:t xml:space="preserve"> varie de 35% à 87% pour l’entrainement à la vapeur d’eau, de 20% à 30% pour l’hydrodistillation et atteint 90% pour l’hydrodiffusion</w:t>
      </w:r>
      <w:r w:rsidR="00F16299">
        <w:rPr>
          <w:sz w:val="20"/>
        </w:rPr>
        <w:t xml:space="preserve"> s</w:t>
      </w:r>
      <w:r w:rsidR="00654DE6">
        <w:rPr>
          <w:sz w:val="20"/>
        </w:rPr>
        <w:t>elon l’état de la plante et de son humidité</w:t>
      </w:r>
      <w:r w:rsidR="00224E6C" w:rsidRPr="001F72D4">
        <w:rPr>
          <w:sz w:val="20"/>
        </w:rPr>
        <w:t>.</w:t>
      </w:r>
    </w:p>
    <w:p w:rsidR="002A3025" w:rsidRPr="001F72D4" w:rsidRDefault="002A3025" w:rsidP="002A3025">
      <w:pPr>
        <w:pStyle w:val="Para"/>
        <w:spacing w:before="240" w:after="240" w:line="240" w:lineRule="auto"/>
        <w:contextualSpacing/>
        <w:rPr>
          <w:sz w:val="20"/>
        </w:rPr>
      </w:pPr>
      <w:r>
        <w:rPr>
          <w:sz w:val="20"/>
        </w:rPr>
        <w:t>L</w:t>
      </w:r>
      <w:r w:rsidRPr="001F72D4">
        <w:rPr>
          <w:sz w:val="20"/>
        </w:rPr>
        <w:t>’activité antioxydante des HE obtenues par hydrodiffusion est nettement supérieure à celle de l’hydrodistillation et de l’entrainement à la vapeur d’eau. En effet, pour une concentration de 260 µg/mL, le t</w:t>
      </w:r>
      <w:r>
        <w:rPr>
          <w:sz w:val="20"/>
        </w:rPr>
        <w:t>aux d’inhibition varie de 5 à 11</w:t>
      </w:r>
      <w:r w:rsidRPr="001F72D4">
        <w:rPr>
          <w:sz w:val="20"/>
        </w:rPr>
        <w:t>% pour l’hydrodistillation, de 10 à 17% pour l’entrainement</w:t>
      </w:r>
      <w:r>
        <w:rPr>
          <w:sz w:val="20"/>
        </w:rPr>
        <w:t xml:space="preserve"> à la vapeur d’eau et atteint 92</w:t>
      </w:r>
      <w:r w:rsidRPr="001F72D4">
        <w:rPr>
          <w:sz w:val="20"/>
        </w:rPr>
        <w:t xml:space="preserve">% pour l’hydrodiffusion. </w:t>
      </w:r>
    </w:p>
    <w:p w:rsidR="002A3025" w:rsidRPr="001F72D4" w:rsidRDefault="002A3025" w:rsidP="00654DE6">
      <w:pPr>
        <w:pStyle w:val="Para"/>
        <w:spacing w:before="240" w:after="240" w:line="240" w:lineRule="auto"/>
        <w:contextualSpacing/>
        <w:rPr>
          <w:sz w:val="20"/>
        </w:rPr>
      </w:pPr>
      <w:r w:rsidRPr="001F72D4">
        <w:rPr>
          <w:sz w:val="20"/>
        </w:rPr>
        <w:t>L’hydrodiffusion parait intéressante en termes d’activité antioxy</w:t>
      </w:r>
      <w:r>
        <w:rPr>
          <w:sz w:val="20"/>
        </w:rPr>
        <w:t>dante</w:t>
      </w:r>
      <w:r w:rsidRPr="001F72D4">
        <w:rPr>
          <w:sz w:val="20"/>
        </w:rPr>
        <w:t xml:space="preserve"> d’autant plus que ce dernier peut être amélioré </w:t>
      </w:r>
      <w:r w:rsidR="00654DE6">
        <w:rPr>
          <w:sz w:val="20"/>
        </w:rPr>
        <w:t xml:space="preserve">en </w:t>
      </w:r>
      <w:r w:rsidR="00654DE6">
        <w:rPr>
          <w:sz w:val="20"/>
        </w:rPr>
        <w:lastRenderedPageBreak/>
        <w:t>rechercha</w:t>
      </w:r>
      <w:r w:rsidR="00236A4F">
        <w:rPr>
          <w:sz w:val="20"/>
        </w:rPr>
        <w:t>n</w:t>
      </w:r>
      <w:r w:rsidR="00654DE6">
        <w:rPr>
          <w:sz w:val="20"/>
        </w:rPr>
        <w:t>t les conditions opératoires optimales, en effet</w:t>
      </w:r>
      <w:r w:rsidRPr="001F72D4">
        <w:rPr>
          <w:sz w:val="20"/>
        </w:rPr>
        <w:t xml:space="preserve"> le débit est un peu faible par rapport aux deux autre</w:t>
      </w:r>
      <w:r>
        <w:rPr>
          <w:sz w:val="20"/>
        </w:rPr>
        <w:t>s procédé</w:t>
      </w:r>
      <w:r w:rsidR="00654DE6">
        <w:rPr>
          <w:sz w:val="20"/>
        </w:rPr>
        <w:t>s</w:t>
      </w:r>
      <w:r w:rsidRPr="001F72D4">
        <w:rPr>
          <w:sz w:val="20"/>
        </w:rPr>
        <w:t>.</w:t>
      </w:r>
    </w:p>
    <w:p w:rsidR="00C01537" w:rsidRPr="00F63A0A" w:rsidRDefault="00030706" w:rsidP="00E00C18">
      <w:pPr>
        <w:pStyle w:val="Titre2"/>
        <w:spacing w:before="150" w:after="60"/>
        <w:contextualSpacing/>
        <w:rPr>
          <w:rFonts w:ascii="Times New Roman" w:hAnsi="Times New Roman" w:cs="Times New Roman"/>
          <w:b w:val="0"/>
          <w:i/>
          <w:color w:val="auto"/>
          <w:sz w:val="20"/>
          <w:szCs w:val="20"/>
        </w:rPr>
      </w:pPr>
      <w:bookmarkStart w:id="4" w:name="_Toc421492982"/>
      <w:r>
        <w:rPr>
          <w:rFonts w:ascii="Times New Roman" w:hAnsi="Times New Roman" w:cs="Times New Roman"/>
          <w:b w:val="0"/>
          <w:i/>
          <w:color w:val="auto"/>
          <w:sz w:val="20"/>
          <w:szCs w:val="20"/>
        </w:rPr>
        <w:t>C.</w:t>
      </w:r>
      <w:r w:rsidR="00C01537" w:rsidRPr="00F63A0A">
        <w:rPr>
          <w:rFonts w:ascii="Times New Roman" w:hAnsi="Times New Roman" w:cs="Times New Roman"/>
          <w:b w:val="0"/>
          <w:i/>
          <w:color w:val="auto"/>
          <w:sz w:val="20"/>
          <w:szCs w:val="20"/>
        </w:rPr>
        <w:t>Hydrolats</w:t>
      </w:r>
      <w:bookmarkEnd w:id="4"/>
    </w:p>
    <w:p w:rsidR="0099223E" w:rsidRDefault="00F63A0A" w:rsidP="00FA146E">
      <w:pPr>
        <w:pStyle w:val="Para"/>
        <w:spacing w:before="0" w:after="0" w:line="240" w:lineRule="auto"/>
        <w:contextualSpacing/>
        <w:rPr>
          <w:sz w:val="20"/>
        </w:rPr>
      </w:pPr>
      <w:r>
        <w:rPr>
          <w:sz w:val="20"/>
        </w:rPr>
        <w:t>L’activité</w:t>
      </w:r>
      <w:r w:rsidR="00C01537" w:rsidRPr="001F72D4">
        <w:rPr>
          <w:sz w:val="20"/>
        </w:rPr>
        <w:t>antioxydante des hydrolats récupérés lors des extrac</w:t>
      </w:r>
      <w:r w:rsidR="0099223E">
        <w:rPr>
          <w:sz w:val="20"/>
        </w:rPr>
        <w:t>tions des huiles essentielles, p</w:t>
      </w:r>
      <w:r w:rsidR="00C01537" w:rsidRPr="001F72D4">
        <w:rPr>
          <w:sz w:val="20"/>
        </w:rPr>
        <w:t>our chacun</w:t>
      </w:r>
      <w:r w:rsidR="0099223E">
        <w:rPr>
          <w:sz w:val="20"/>
        </w:rPr>
        <w:t xml:space="preserve"> des procédés</w:t>
      </w:r>
      <w:r w:rsidR="00C01537" w:rsidRPr="001F72D4">
        <w:rPr>
          <w:sz w:val="20"/>
        </w:rPr>
        <w:t xml:space="preserve">, </w:t>
      </w:r>
      <w:r w:rsidR="0099223E">
        <w:rPr>
          <w:sz w:val="20"/>
        </w:rPr>
        <w:t>et</w:t>
      </w:r>
      <w:r w:rsidR="00C01537" w:rsidRPr="001F72D4">
        <w:rPr>
          <w:sz w:val="20"/>
        </w:rPr>
        <w:t xml:space="preserve"> les teneurs en polyphénols</w:t>
      </w:r>
      <w:r w:rsidR="00FD4F85">
        <w:rPr>
          <w:sz w:val="20"/>
        </w:rPr>
        <w:t xml:space="preserve">  sont données dans le tableau I</w:t>
      </w:r>
      <w:r w:rsidR="0099223E">
        <w:rPr>
          <w:sz w:val="20"/>
        </w:rPr>
        <w:t>.</w:t>
      </w:r>
    </w:p>
    <w:p w:rsidR="00C01537" w:rsidRPr="001F72D4" w:rsidRDefault="00C01537" w:rsidP="005F6B3F">
      <w:pPr>
        <w:pStyle w:val="Para"/>
        <w:spacing w:before="0" w:after="0" w:line="240" w:lineRule="auto"/>
        <w:ind w:firstLine="709"/>
        <w:contextualSpacing/>
        <w:rPr>
          <w:color w:val="000000"/>
          <w:sz w:val="20"/>
          <w:lang w:val="fr-FR" w:eastAsia="en-US"/>
        </w:rPr>
      </w:pPr>
    </w:p>
    <w:p w:rsidR="00FD4F85" w:rsidRDefault="00C01537" w:rsidP="00405473">
      <w:pPr>
        <w:contextualSpacing/>
        <w:jc w:val="center"/>
        <w:rPr>
          <w:rFonts w:ascii="Times New Roman" w:hAnsi="Times New Roman" w:cs="Times New Roman"/>
          <w:bCs/>
          <w:caps/>
          <w:sz w:val="16"/>
          <w:szCs w:val="16"/>
        </w:rPr>
      </w:pPr>
      <w:bookmarkStart w:id="5" w:name="_Toc421486954"/>
      <w:r w:rsidRPr="00405473">
        <w:rPr>
          <w:rFonts w:ascii="Times New Roman" w:hAnsi="Times New Roman" w:cs="Times New Roman"/>
          <w:bCs/>
          <w:caps/>
          <w:sz w:val="16"/>
          <w:szCs w:val="16"/>
        </w:rPr>
        <w:t>Tableau</w:t>
      </w:r>
      <w:r w:rsidR="00FD4F85">
        <w:rPr>
          <w:rFonts w:ascii="Times New Roman" w:hAnsi="Times New Roman" w:cs="Times New Roman"/>
          <w:bCs/>
          <w:caps/>
          <w:sz w:val="16"/>
          <w:szCs w:val="16"/>
        </w:rPr>
        <w:t>I</w:t>
      </w:r>
    </w:p>
    <w:p w:rsidR="00C01537" w:rsidRPr="00405473" w:rsidRDefault="00C01537" w:rsidP="00405473">
      <w:pPr>
        <w:contextualSpacing/>
        <w:jc w:val="center"/>
        <w:rPr>
          <w:rFonts w:ascii="Times New Roman" w:hAnsi="Times New Roman" w:cs="Times New Roman"/>
          <w:b/>
          <w:bCs/>
          <w:caps/>
          <w:color w:val="FF0000"/>
          <w:sz w:val="16"/>
          <w:szCs w:val="16"/>
        </w:rPr>
      </w:pPr>
      <w:r w:rsidRPr="00405473">
        <w:rPr>
          <w:rFonts w:ascii="Times New Roman" w:hAnsi="Times New Roman" w:cs="Times New Roman"/>
          <w:caps/>
          <w:sz w:val="16"/>
          <w:szCs w:val="16"/>
        </w:rPr>
        <w:t xml:space="preserve"> Teneurs en polyphénols des hydrolats de l’inule visqueuse</w:t>
      </w:r>
      <w:bookmarkEnd w:id="5"/>
    </w:p>
    <w:tbl>
      <w:tblPr>
        <w:tblStyle w:val="TableauGrille6Couleur1"/>
        <w:tblW w:w="4749" w:type="pct"/>
        <w:tblInd w:w="108" w:type="dxa"/>
        <w:tblLayout w:type="fixed"/>
        <w:tblLook w:val="04A0"/>
      </w:tblPr>
      <w:tblGrid>
        <w:gridCol w:w="963"/>
        <w:gridCol w:w="1604"/>
        <w:gridCol w:w="1284"/>
        <w:gridCol w:w="1284"/>
      </w:tblGrid>
      <w:tr w:rsidR="005C3605" w:rsidRPr="004611DC" w:rsidTr="005C3605">
        <w:trPr>
          <w:cnfStyle w:val="100000000000"/>
          <w:trHeight w:val="384"/>
        </w:trPr>
        <w:tc>
          <w:tcPr>
            <w:cnfStyle w:val="001000000000"/>
            <w:tcW w:w="938" w:type="pct"/>
            <w:shd w:val="clear" w:color="auto" w:fill="auto"/>
            <w:noWrap/>
            <w:vAlign w:val="center"/>
            <w:hideMark/>
          </w:tcPr>
          <w:p w:rsidR="00C01537" w:rsidRPr="004611DC" w:rsidRDefault="00C01537" w:rsidP="005F6B3F">
            <w:pPr>
              <w:contextualSpacing/>
              <w:jc w:val="center"/>
              <w:rPr>
                <w:color w:val="000000"/>
                <w:sz w:val="18"/>
                <w:szCs w:val="18"/>
                <w:lang w:val="en-US" w:eastAsia="en-US"/>
              </w:rPr>
            </w:pPr>
            <w:r w:rsidRPr="004611DC">
              <w:rPr>
                <w:color w:val="000000"/>
                <w:sz w:val="18"/>
                <w:szCs w:val="18"/>
                <w:lang w:val="en-US" w:eastAsia="en-US"/>
              </w:rPr>
              <w:t>procédé</w:t>
            </w:r>
          </w:p>
        </w:tc>
        <w:tc>
          <w:tcPr>
            <w:tcW w:w="1562" w:type="pct"/>
            <w:shd w:val="clear" w:color="auto" w:fill="auto"/>
            <w:noWrap/>
            <w:vAlign w:val="center"/>
            <w:hideMark/>
          </w:tcPr>
          <w:p w:rsidR="00C01537" w:rsidRPr="004611DC" w:rsidRDefault="00C01537" w:rsidP="005F6B3F">
            <w:pPr>
              <w:contextualSpacing/>
              <w:jc w:val="center"/>
              <w:cnfStyle w:val="100000000000"/>
              <w:rPr>
                <w:color w:val="000000"/>
                <w:sz w:val="18"/>
                <w:szCs w:val="18"/>
                <w:lang w:val="en-US" w:eastAsia="en-US"/>
              </w:rPr>
            </w:pPr>
            <w:r w:rsidRPr="004611DC">
              <w:rPr>
                <w:color w:val="000000"/>
                <w:sz w:val="18"/>
                <w:szCs w:val="18"/>
                <w:lang w:val="en-US" w:eastAsia="en-US"/>
              </w:rPr>
              <w:t>TPT (mg EAG/gMS)</w:t>
            </w:r>
          </w:p>
        </w:tc>
        <w:tc>
          <w:tcPr>
            <w:tcW w:w="1250" w:type="pct"/>
            <w:shd w:val="clear" w:color="auto" w:fill="auto"/>
            <w:noWrap/>
            <w:vAlign w:val="center"/>
            <w:hideMark/>
          </w:tcPr>
          <w:p w:rsidR="00C01537" w:rsidRPr="004611DC" w:rsidRDefault="00C01537" w:rsidP="005F6B3F">
            <w:pPr>
              <w:contextualSpacing/>
              <w:jc w:val="center"/>
              <w:cnfStyle w:val="100000000000"/>
              <w:rPr>
                <w:color w:val="000000"/>
                <w:sz w:val="18"/>
                <w:szCs w:val="18"/>
                <w:lang w:val="en-US" w:eastAsia="en-US"/>
              </w:rPr>
            </w:pPr>
            <w:r w:rsidRPr="004611DC">
              <w:rPr>
                <w:color w:val="000000"/>
                <w:sz w:val="18"/>
                <w:szCs w:val="18"/>
                <w:lang w:val="en-US" w:eastAsia="en-US"/>
              </w:rPr>
              <w:t>TPT (mg EAG/mL)</w:t>
            </w:r>
          </w:p>
        </w:tc>
        <w:tc>
          <w:tcPr>
            <w:tcW w:w="1250" w:type="pct"/>
            <w:shd w:val="clear" w:color="auto" w:fill="auto"/>
          </w:tcPr>
          <w:p w:rsidR="00C01537" w:rsidRPr="004611DC" w:rsidRDefault="00C01537" w:rsidP="005F6B3F">
            <w:pPr>
              <w:contextualSpacing/>
              <w:jc w:val="center"/>
              <w:cnfStyle w:val="100000000000"/>
              <w:rPr>
                <w:color w:val="auto"/>
                <w:sz w:val="18"/>
                <w:szCs w:val="18"/>
                <w:lang w:val="en-US" w:eastAsia="en-US"/>
              </w:rPr>
            </w:pPr>
            <w:r w:rsidRPr="004611DC">
              <w:rPr>
                <w:color w:val="auto"/>
                <w:sz w:val="18"/>
                <w:szCs w:val="18"/>
              </w:rPr>
              <w:t>IC</w:t>
            </w:r>
            <w:r w:rsidRPr="004611DC">
              <w:rPr>
                <w:color w:val="auto"/>
                <w:sz w:val="18"/>
                <w:szCs w:val="18"/>
                <w:vertAlign w:val="subscript"/>
              </w:rPr>
              <w:t xml:space="preserve">50 </w:t>
            </w:r>
            <w:r w:rsidRPr="004611DC">
              <w:rPr>
                <w:color w:val="auto"/>
                <w:sz w:val="18"/>
                <w:szCs w:val="18"/>
              </w:rPr>
              <w:t>(</w:t>
            </w:r>
            <w:r w:rsidRPr="004611DC">
              <w:rPr>
                <w:color w:val="auto"/>
                <w:sz w:val="18"/>
                <w:szCs w:val="18"/>
                <w:lang w:val="en-US"/>
              </w:rPr>
              <w:t>µg EAG/mL)</w:t>
            </w:r>
          </w:p>
        </w:tc>
      </w:tr>
      <w:tr w:rsidR="005C3605" w:rsidRPr="004611DC" w:rsidTr="005C3605">
        <w:trPr>
          <w:cnfStyle w:val="000000100000"/>
          <w:trHeight w:val="384"/>
        </w:trPr>
        <w:tc>
          <w:tcPr>
            <w:cnfStyle w:val="001000000000"/>
            <w:tcW w:w="938" w:type="pct"/>
            <w:shd w:val="clear" w:color="auto" w:fill="auto"/>
            <w:noWrap/>
            <w:vAlign w:val="center"/>
            <w:hideMark/>
          </w:tcPr>
          <w:p w:rsidR="00C01537" w:rsidRPr="004611DC" w:rsidRDefault="00C01537" w:rsidP="0098237B">
            <w:pPr>
              <w:contextualSpacing/>
              <w:jc w:val="center"/>
              <w:rPr>
                <w:b w:val="0"/>
                <w:color w:val="000000"/>
                <w:sz w:val="18"/>
                <w:szCs w:val="18"/>
                <w:lang w:val="en-US" w:eastAsia="en-US"/>
              </w:rPr>
            </w:pPr>
            <w:r w:rsidRPr="004611DC">
              <w:rPr>
                <w:b w:val="0"/>
                <w:color w:val="000000"/>
                <w:sz w:val="18"/>
                <w:szCs w:val="18"/>
                <w:lang w:val="en-US" w:eastAsia="en-US"/>
              </w:rPr>
              <w:t xml:space="preserve">HD </w:t>
            </w:r>
          </w:p>
        </w:tc>
        <w:tc>
          <w:tcPr>
            <w:tcW w:w="1562" w:type="pct"/>
            <w:shd w:val="clear" w:color="auto" w:fill="auto"/>
            <w:noWrap/>
            <w:vAlign w:val="center"/>
            <w:hideMark/>
          </w:tcPr>
          <w:p w:rsidR="00C01537" w:rsidRPr="004611DC" w:rsidRDefault="00C01537" w:rsidP="005F6B3F">
            <w:pPr>
              <w:contextualSpacing/>
              <w:jc w:val="center"/>
              <w:cnfStyle w:val="000000100000"/>
              <w:rPr>
                <w:color w:val="000000"/>
                <w:sz w:val="18"/>
                <w:szCs w:val="18"/>
                <w:lang w:val="en-US" w:eastAsia="en-US"/>
              </w:rPr>
            </w:pPr>
            <w:r w:rsidRPr="004611DC">
              <w:rPr>
                <w:color w:val="000000"/>
                <w:sz w:val="18"/>
                <w:szCs w:val="18"/>
                <w:lang w:val="en-US" w:eastAsia="en-US"/>
              </w:rPr>
              <w:t xml:space="preserve">388,00 </w:t>
            </w:r>
            <w:r w:rsidRPr="004611DC">
              <w:rPr>
                <w:color w:val="000000"/>
                <w:sz w:val="18"/>
                <w:szCs w:val="18"/>
                <w:lang w:val="en-US" w:eastAsia="en-US"/>
              </w:rPr>
              <w:sym w:font="Symbol" w:char="F0B1"/>
            </w:r>
            <w:r w:rsidRPr="004611DC">
              <w:rPr>
                <w:color w:val="000000"/>
                <w:sz w:val="18"/>
                <w:szCs w:val="18"/>
                <w:lang w:val="en-US" w:eastAsia="en-US"/>
              </w:rPr>
              <w:t xml:space="preserve"> 40,56</w:t>
            </w:r>
          </w:p>
        </w:tc>
        <w:tc>
          <w:tcPr>
            <w:tcW w:w="1250" w:type="pct"/>
            <w:shd w:val="clear" w:color="auto" w:fill="auto"/>
            <w:noWrap/>
            <w:vAlign w:val="center"/>
            <w:hideMark/>
          </w:tcPr>
          <w:p w:rsidR="00C01537" w:rsidRPr="004611DC" w:rsidRDefault="00C01537" w:rsidP="005F6B3F">
            <w:pPr>
              <w:contextualSpacing/>
              <w:jc w:val="center"/>
              <w:cnfStyle w:val="000000100000"/>
              <w:rPr>
                <w:color w:val="000000"/>
                <w:sz w:val="18"/>
                <w:szCs w:val="18"/>
                <w:lang w:val="en-US" w:eastAsia="en-US"/>
              </w:rPr>
            </w:pPr>
            <w:r w:rsidRPr="004611DC">
              <w:rPr>
                <w:color w:val="000000"/>
                <w:sz w:val="18"/>
                <w:szCs w:val="18"/>
                <w:lang w:val="en-US" w:eastAsia="en-US"/>
              </w:rPr>
              <w:t xml:space="preserve">1,64 </w:t>
            </w:r>
            <w:r w:rsidRPr="004611DC">
              <w:rPr>
                <w:color w:val="000000"/>
                <w:sz w:val="18"/>
                <w:szCs w:val="18"/>
                <w:lang w:val="en-US" w:eastAsia="en-US"/>
              </w:rPr>
              <w:sym w:font="Symbol" w:char="F0B1"/>
            </w:r>
            <w:r w:rsidRPr="004611DC">
              <w:rPr>
                <w:color w:val="000000"/>
                <w:sz w:val="18"/>
                <w:szCs w:val="18"/>
                <w:lang w:val="en-US" w:eastAsia="en-US"/>
              </w:rPr>
              <w:t>0,17</w:t>
            </w:r>
          </w:p>
        </w:tc>
        <w:tc>
          <w:tcPr>
            <w:tcW w:w="1250" w:type="pct"/>
            <w:shd w:val="clear" w:color="auto" w:fill="auto"/>
            <w:vAlign w:val="center"/>
          </w:tcPr>
          <w:p w:rsidR="00C01537" w:rsidRPr="004611DC" w:rsidRDefault="00C01537" w:rsidP="005F6B3F">
            <w:pPr>
              <w:contextualSpacing/>
              <w:jc w:val="center"/>
              <w:cnfStyle w:val="000000100000"/>
              <w:rPr>
                <w:color w:val="auto"/>
                <w:sz w:val="18"/>
                <w:szCs w:val="18"/>
                <w:lang w:val="en-US" w:eastAsia="en-US"/>
              </w:rPr>
            </w:pPr>
            <w:r w:rsidRPr="004611DC">
              <w:rPr>
                <w:color w:val="auto"/>
                <w:sz w:val="18"/>
                <w:szCs w:val="18"/>
                <w:lang w:val="en-US" w:eastAsia="en-US"/>
              </w:rPr>
              <w:t xml:space="preserve">4,50 </w:t>
            </w:r>
            <w:r w:rsidRPr="004611DC">
              <w:rPr>
                <w:color w:val="auto"/>
                <w:sz w:val="18"/>
                <w:szCs w:val="18"/>
                <w:lang w:val="en-US" w:eastAsia="en-US"/>
              </w:rPr>
              <w:sym w:font="Symbol" w:char="F0B1"/>
            </w:r>
            <w:r w:rsidRPr="004611DC">
              <w:rPr>
                <w:color w:val="auto"/>
                <w:sz w:val="18"/>
                <w:szCs w:val="18"/>
                <w:lang w:val="en-US" w:eastAsia="en-US"/>
              </w:rPr>
              <w:t xml:space="preserve"> 0,50</w:t>
            </w:r>
          </w:p>
        </w:tc>
      </w:tr>
      <w:tr w:rsidR="005C3605" w:rsidRPr="004611DC" w:rsidTr="005C3605">
        <w:trPr>
          <w:trHeight w:val="384"/>
        </w:trPr>
        <w:tc>
          <w:tcPr>
            <w:cnfStyle w:val="001000000000"/>
            <w:tcW w:w="938" w:type="pct"/>
            <w:shd w:val="clear" w:color="auto" w:fill="auto"/>
            <w:noWrap/>
            <w:vAlign w:val="center"/>
            <w:hideMark/>
          </w:tcPr>
          <w:p w:rsidR="00C01537" w:rsidRPr="004611DC" w:rsidRDefault="00C01537" w:rsidP="0098237B">
            <w:pPr>
              <w:contextualSpacing/>
              <w:jc w:val="center"/>
              <w:rPr>
                <w:b w:val="0"/>
                <w:color w:val="000000"/>
                <w:sz w:val="18"/>
                <w:szCs w:val="18"/>
                <w:lang w:val="en-US" w:eastAsia="en-US"/>
              </w:rPr>
            </w:pPr>
            <w:r w:rsidRPr="004611DC">
              <w:rPr>
                <w:b w:val="0"/>
                <w:color w:val="000000"/>
                <w:sz w:val="18"/>
                <w:szCs w:val="18"/>
                <w:lang w:val="en-US" w:eastAsia="en-US"/>
              </w:rPr>
              <w:t xml:space="preserve">EVE </w:t>
            </w:r>
          </w:p>
        </w:tc>
        <w:tc>
          <w:tcPr>
            <w:tcW w:w="1562" w:type="pct"/>
            <w:shd w:val="clear" w:color="auto" w:fill="auto"/>
            <w:noWrap/>
            <w:vAlign w:val="center"/>
            <w:hideMark/>
          </w:tcPr>
          <w:p w:rsidR="00C01537" w:rsidRPr="004611DC" w:rsidRDefault="00C01537" w:rsidP="005F6B3F">
            <w:pPr>
              <w:contextualSpacing/>
              <w:jc w:val="center"/>
              <w:cnfStyle w:val="000000000000"/>
              <w:rPr>
                <w:color w:val="000000"/>
                <w:sz w:val="18"/>
                <w:szCs w:val="18"/>
                <w:lang w:val="en-US" w:eastAsia="en-US"/>
              </w:rPr>
            </w:pPr>
            <w:r w:rsidRPr="004611DC">
              <w:rPr>
                <w:color w:val="000000"/>
                <w:sz w:val="18"/>
                <w:szCs w:val="18"/>
                <w:lang w:val="en-US" w:eastAsia="en-US"/>
              </w:rPr>
              <w:t xml:space="preserve">291,02 </w:t>
            </w:r>
            <w:r w:rsidRPr="004611DC">
              <w:rPr>
                <w:color w:val="000000"/>
                <w:sz w:val="18"/>
                <w:szCs w:val="18"/>
                <w:lang w:val="en-US" w:eastAsia="en-US"/>
              </w:rPr>
              <w:sym w:font="Symbol" w:char="F0B1"/>
            </w:r>
            <w:r w:rsidRPr="004611DC">
              <w:rPr>
                <w:color w:val="000000"/>
                <w:sz w:val="18"/>
                <w:szCs w:val="18"/>
                <w:lang w:val="en-US" w:eastAsia="en-US"/>
              </w:rPr>
              <w:t xml:space="preserve"> 33,42</w:t>
            </w:r>
          </w:p>
        </w:tc>
        <w:tc>
          <w:tcPr>
            <w:tcW w:w="1250" w:type="pct"/>
            <w:shd w:val="clear" w:color="auto" w:fill="auto"/>
            <w:noWrap/>
            <w:vAlign w:val="center"/>
            <w:hideMark/>
          </w:tcPr>
          <w:p w:rsidR="00C01537" w:rsidRPr="004611DC" w:rsidRDefault="00C01537" w:rsidP="005F6B3F">
            <w:pPr>
              <w:contextualSpacing/>
              <w:jc w:val="center"/>
              <w:cnfStyle w:val="000000000000"/>
              <w:rPr>
                <w:color w:val="000000"/>
                <w:sz w:val="18"/>
                <w:szCs w:val="18"/>
                <w:lang w:val="en-US" w:eastAsia="en-US"/>
              </w:rPr>
            </w:pPr>
            <w:r w:rsidRPr="004611DC">
              <w:rPr>
                <w:color w:val="000000"/>
                <w:sz w:val="18"/>
                <w:szCs w:val="18"/>
                <w:lang w:val="en-US" w:eastAsia="en-US"/>
              </w:rPr>
              <w:t xml:space="preserve">0,84 </w:t>
            </w:r>
            <w:r w:rsidRPr="004611DC">
              <w:rPr>
                <w:color w:val="000000"/>
                <w:sz w:val="18"/>
                <w:szCs w:val="18"/>
                <w:lang w:val="en-US" w:eastAsia="en-US"/>
              </w:rPr>
              <w:sym w:font="Symbol" w:char="F0B1"/>
            </w:r>
            <w:r w:rsidRPr="004611DC">
              <w:rPr>
                <w:color w:val="000000"/>
                <w:sz w:val="18"/>
                <w:szCs w:val="18"/>
                <w:lang w:val="en-US" w:eastAsia="en-US"/>
              </w:rPr>
              <w:t>0,10</w:t>
            </w:r>
          </w:p>
        </w:tc>
        <w:tc>
          <w:tcPr>
            <w:tcW w:w="1250" w:type="pct"/>
            <w:shd w:val="clear" w:color="auto" w:fill="auto"/>
            <w:vAlign w:val="center"/>
          </w:tcPr>
          <w:p w:rsidR="00C01537" w:rsidRPr="004611DC" w:rsidRDefault="00C01537" w:rsidP="005F6B3F">
            <w:pPr>
              <w:contextualSpacing/>
              <w:jc w:val="center"/>
              <w:cnfStyle w:val="000000000000"/>
              <w:rPr>
                <w:color w:val="auto"/>
                <w:sz w:val="18"/>
                <w:szCs w:val="18"/>
                <w:lang w:val="en-US" w:eastAsia="en-US"/>
              </w:rPr>
            </w:pPr>
            <w:r w:rsidRPr="004611DC">
              <w:rPr>
                <w:color w:val="auto"/>
                <w:sz w:val="18"/>
                <w:szCs w:val="18"/>
                <w:lang w:val="en-US" w:eastAsia="en-US"/>
              </w:rPr>
              <w:t xml:space="preserve">0,33 </w:t>
            </w:r>
            <w:r w:rsidRPr="004611DC">
              <w:rPr>
                <w:color w:val="auto"/>
                <w:sz w:val="18"/>
                <w:szCs w:val="18"/>
                <w:lang w:val="en-US" w:eastAsia="en-US"/>
              </w:rPr>
              <w:sym w:font="Symbol" w:char="F0B1"/>
            </w:r>
            <w:r w:rsidRPr="004611DC">
              <w:rPr>
                <w:color w:val="auto"/>
                <w:sz w:val="18"/>
                <w:szCs w:val="18"/>
                <w:lang w:val="en-US" w:eastAsia="en-US"/>
              </w:rPr>
              <w:t>0,11</w:t>
            </w:r>
          </w:p>
        </w:tc>
      </w:tr>
      <w:tr w:rsidR="005C3605" w:rsidRPr="004611DC" w:rsidTr="005C3605">
        <w:trPr>
          <w:cnfStyle w:val="000000100000"/>
          <w:trHeight w:val="384"/>
        </w:trPr>
        <w:tc>
          <w:tcPr>
            <w:cnfStyle w:val="001000000000"/>
            <w:tcW w:w="938" w:type="pct"/>
            <w:shd w:val="clear" w:color="auto" w:fill="auto"/>
            <w:noWrap/>
            <w:vAlign w:val="center"/>
            <w:hideMark/>
          </w:tcPr>
          <w:p w:rsidR="00C01537" w:rsidRPr="004611DC" w:rsidRDefault="00C01537" w:rsidP="0098237B">
            <w:pPr>
              <w:contextualSpacing/>
              <w:jc w:val="center"/>
              <w:rPr>
                <w:b w:val="0"/>
                <w:color w:val="000000"/>
                <w:sz w:val="18"/>
                <w:szCs w:val="18"/>
                <w:lang w:val="en-US" w:eastAsia="en-US"/>
              </w:rPr>
            </w:pPr>
            <w:r w:rsidRPr="004611DC">
              <w:rPr>
                <w:b w:val="0"/>
                <w:color w:val="000000"/>
                <w:sz w:val="18"/>
                <w:szCs w:val="18"/>
                <w:lang w:val="en-US" w:eastAsia="en-US"/>
              </w:rPr>
              <w:t>Hdiff</w:t>
            </w:r>
          </w:p>
        </w:tc>
        <w:tc>
          <w:tcPr>
            <w:tcW w:w="1562" w:type="pct"/>
            <w:shd w:val="clear" w:color="auto" w:fill="auto"/>
            <w:noWrap/>
            <w:vAlign w:val="center"/>
            <w:hideMark/>
          </w:tcPr>
          <w:p w:rsidR="00C01537" w:rsidRPr="004611DC" w:rsidRDefault="00C01537" w:rsidP="005F6B3F">
            <w:pPr>
              <w:contextualSpacing/>
              <w:jc w:val="center"/>
              <w:cnfStyle w:val="000000100000"/>
              <w:rPr>
                <w:color w:val="000000"/>
                <w:sz w:val="18"/>
                <w:szCs w:val="18"/>
                <w:lang w:val="en-US" w:eastAsia="en-US"/>
              </w:rPr>
            </w:pPr>
            <w:r w:rsidRPr="004611DC">
              <w:rPr>
                <w:color w:val="000000"/>
                <w:sz w:val="18"/>
                <w:szCs w:val="18"/>
                <w:lang w:val="en-US" w:eastAsia="en-US"/>
              </w:rPr>
              <w:t xml:space="preserve">314,71  </w:t>
            </w:r>
            <w:r w:rsidRPr="004611DC">
              <w:rPr>
                <w:color w:val="000000"/>
                <w:sz w:val="18"/>
                <w:szCs w:val="18"/>
                <w:lang w:val="en-US" w:eastAsia="en-US"/>
              </w:rPr>
              <w:sym w:font="Symbol" w:char="F0B1"/>
            </w:r>
            <w:r w:rsidRPr="004611DC">
              <w:rPr>
                <w:color w:val="000000"/>
                <w:sz w:val="18"/>
                <w:szCs w:val="18"/>
                <w:lang w:val="en-US" w:eastAsia="en-US"/>
              </w:rPr>
              <w:t xml:space="preserve"> 92,29</w:t>
            </w:r>
          </w:p>
        </w:tc>
        <w:tc>
          <w:tcPr>
            <w:tcW w:w="1250" w:type="pct"/>
            <w:shd w:val="clear" w:color="auto" w:fill="auto"/>
            <w:noWrap/>
            <w:vAlign w:val="center"/>
            <w:hideMark/>
          </w:tcPr>
          <w:p w:rsidR="00C01537" w:rsidRPr="004611DC" w:rsidRDefault="00C01537" w:rsidP="005F6B3F">
            <w:pPr>
              <w:contextualSpacing/>
              <w:jc w:val="center"/>
              <w:cnfStyle w:val="000000100000"/>
              <w:rPr>
                <w:color w:val="000000"/>
                <w:sz w:val="18"/>
                <w:szCs w:val="18"/>
                <w:lang w:val="en-US" w:eastAsia="en-US"/>
              </w:rPr>
            </w:pPr>
            <w:r w:rsidRPr="004611DC">
              <w:rPr>
                <w:color w:val="000000"/>
                <w:sz w:val="18"/>
                <w:szCs w:val="18"/>
                <w:lang w:val="en-US" w:eastAsia="en-US"/>
              </w:rPr>
              <w:t xml:space="preserve">1,55 </w:t>
            </w:r>
            <w:r w:rsidRPr="004611DC">
              <w:rPr>
                <w:color w:val="000000"/>
                <w:sz w:val="18"/>
                <w:szCs w:val="18"/>
                <w:lang w:val="en-US" w:eastAsia="en-US"/>
              </w:rPr>
              <w:sym w:font="Symbol" w:char="F0B1"/>
            </w:r>
            <w:r w:rsidRPr="004611DC">
              <w:rPr>
                <w:color w:val="000000"/>
                <w:sz w:val="18"/>
                <w:szCs w:val="18"/>
                <w:lang w:val="en-US" w:eastAsia="en-US"/>
              </w:rPr>
              <w:t>0,46</w:t>
            </w:r>
          </w:p>
        </w:tc>
        <w:tc>
          <w:tcPr>
            <w:tcW w:w="1250" w:type="pct"/>
            <w:shd w:val="clear" w:color="auto" w:fill="auto"/>
            <w:vAlign w:val="center"/>
          </w:tcPr>
          <w:p w:rsidR="00C01537" w:rsidRPr="004611DC" w:rsidRDefault="00C01537" w:rsidP="005F6B3F">
            <w:pPr>
              <w:contextualSpacing/>
              <w:jc w:val="center"/>
              <w:cnfStyle w:val="000000100000"/>
              <w:rPr>
                <w:color w:val="auto"/>
                <w:sz w:val="18"/>
                <w:szCs w:val="18"/>
                <w:lang w:val="en-US" w:eastAsia="en-US"/>
              </w:rPr>
            </w:pPr>
            <w:r w:rsidRPr="004611DC">
              <w:rPr>
                <w:color w:val="auto"/>
                <w:sz w:val="18"/>
                <w:szCs w:val="18"/>
                <w:lang w:val="en-US" w:eastAsia="en-US"/>
              </w:rPr>
              <w:t xml:space="preserve">0,90 </w:t>
            </w:r>
            <w:r w:rsidRPr="004611DC">
              <w:rPr>
                <w:color w:val="auto"/>
                <w:sz w:val="18"/>
                <w:szCs w:val="18"/>
                <w:lang w:val="en-US" w:eastAsia="en-US"/>
              </w:rPr>
              <w:sym w:font="Symbol" w:char="F0B1"/>
            </w:r>
            <w:r w:rsidRPr="004611DC">
              <w:rPr>
                <w:color w:val="auto"/>
                <w:sz w:val="18"/>
                <w:szCs w:val="18"/>
                <w:lang w:val="en-US" w:eastAsia="en-US"/>
              </w:rPr>
              <w:t>0,10</w:t>
            </w:r>
          </w:p>
        </w:tc>
      </w:tr>
    </w:tbl>
    <w:p w:rsidR="00C01537" w:rsidRPr="004611DC" w:rsidRDefault="00C01537" w:rsidP="005F6B3F">
      <w:pPr>
        <w:pStyle w:val="Para"/>
        <w:spacing w:before="0" w:after="0" w:line="240" w:lineRule="auto"/>
        <w:ind w:firstLine="709"/>
        <w:contextualSpacing/>
        <w:rPr>
          <w:sz w:val="18"/>
          <w:szCs w:val="18"/>
        </w:rPr>
      </w:pPr>
    </w:p>
    <w:p w:rsidR="00C01537" w:rsidRPr="001F72D4" w:rsidRDefault="0098237B" w:rsidP="000262A7">
      <w:pPr>
        <w:pStyle w:val="Para"/>
        <w:spacing w:before="60" w:after="60" w:line="240" w:lineRule="auto"/>
        <w:contextualSpacing/>
        <w:rPr>
          <w:sz w:val="20"/>
        </w:rPr>
      </w:pPr>
      <w:r>
        <w:rPr>
          <w:sz w:val="20"/>
        </w:rPr>
        <w:t>L’examen</w:t>
      </w:r>
      <w:r w:rsidR="0099223E">
        <w:rPr>
          <w:sz w:val="20"/>
        </w:rPr>
        <w:t xml:space="preserve"> du tableau </w:t>
      </w:r>
      <w:r w:rsidR="00FD4F85">
        <w:rPr>
          <w:sz w:val="20"/>
        </w:rPr>
        <w:t>I</w:t>
      </w:r>
      <w:r w:rsidR="00C01537" w:rsidRPr="001F72D4">
        <w:rPr>
          <w:sz w:val="20"/>
        </w:rPr>
        <w:t xml:space="preserve"> montre que les hydrolats de l’inule visqueuse sont riches en polyphénols. Cette constatation </w:t>
      </w:r>
      <w:r w:rsidR="0099223E">
        <w:rPr>
          <w:sz w:val="20"/>
        </w:rPr>
        <w:t>a déjà été faite</w:t>
      </w:r>
      <w:r w:rsidR="00C01537" w:rsidRPr="001F72D4">
        <w:rPr>
          <w:sz w:val="20"/>
        </w:rPr>
        <w:t xml:space="preserve"> pour l’hydrolat de l’inule visq</w:t>
      </w:r>
      <w:r w:rsidR="00ED33FA">
        <w:rPr>
          <w:sz w:val="20"/>
        </w:rPr>
        <w:t>ueuse du Portugal rapportée par</w:t>
      </w:r>
      <w:r w:rsidR="0099223E" w:rsidRPr="008066FC">
        <w:rPr>
          <w:bCs/>
          <w:sz w:val="20"/>
        </w:rPr>
        <w:t>[</w:t>
      </w:r>
      <w:r w:rsidR="00ED33FA">
        <w:rPr>
          <w:bCs/>
          <w:sz w:val="20"/>
        </w:rPr>
        <w:t>8</w:t>
      </w:r>
      <w:r w:rsidR="00C01537" w:rsidRPr="008066FC">
        <w:rPr>
          <w:bCs/>
          <w:sz w:val="20"/>
        </w:rPr>
        <w:t>]</w:t>
      </w:r>
      <w:r w:rsidR="00C01537" w:rsidRPr="001F72D4">
        <w:rPr>
          <w:sz w:val="20"/>
        </w:rPr>
        <w:t>qui ont trouvé une teneur en polyphénols de 14,3</w:t>
      </w:r>
      <w:r w:rsidR="00C01537" w:rsidRPr="001F72D4">
        <w:rPr>
          <w:color w:val="000000"/>
          <w:sz w:val="20"/>
          <w:lang w:val="en-US" w:eastAsia="en-US"/>
        </w:rPr>
        <w:sym w:font="Symbol" w:char="F0B1"/>
      </w:r>
      <w:r w:rsidR="00C01537" w:rsidRPr="001F72D4">
        <w:rPr>
          <w:color w:val="000000"/>
          <w:sz w:val="20"/>
          <w:lang w:val="fr-FR" w:eastAsia="en-US"/>
        </w:rPr>
        <w:t xml:space="preserve"> 0,6 </w:t>
      </w:r>
      <w:r w:rsidR="0099223E">
        <w:rPr>
          <w:sz w:val="20"/>
        </w:rPr>
        <w:t>mg</w:t>
      </w:r>
      <w:r w:rsidR="00E442E3">
        <w:rPr>
          <w:sz w:val="20"/>
        </w:rPr>
        <w:t xml:space="preserve"> EAG</w:t>
      </w:r>
      <w:r w:rsidR="0099223E">
        <w:rPr>
          <w:sz w:val="20"/>
        </w:rPr>
        <w:t>/mL</w:t>
      </w:r>
      <w:r w:rsidR="00C01537" w:rsidRPr="001F72D4">
        <w:rPr>
          <w:sz w:val="20"/>
        </w:rPr>
        <w:t>. Nous constatons que l’hydrodistillation donne des teneurs en polyphénols plus élevées, ceci peut être expliqué par le fait que les feuilles sont en contact direct avec l’eau ce qui permet une bonne solubilisation des polyphénols.</w:t>
      </w:r>
    </w:p>
    <w:p w:rsidR="008066FC" w:rsidRDefault="002A3025" w:rsidP="000262A7">
      <w:pPr>
        <w:pStyle w:val="Para"/>
        <w:spacing w:before="180" w:after="180" w:line="240" w:lineRule="auto"/>
        <w:contextualSpacing/>
        <w:rPr>
          <w:sz w:val="20"/>
          <w:lang w:val="fr-FR"/>
        </w:rPr>
      </w:pPr>
      <w:r>
        <w:rPr>
          <w:sz w:val="20"/>
        </w:rPr>
        <w:t>L</w:t>
      </w:r>
      <w:r w:rsidR="004611DC" w:rsidRPr="001F72D4">
        <w:rPr>
          <w:sz w:val="20"/>
        </w:rPr>
        <w:t xml:space="preserve">’activité antioxydante des </w:t>
      </w:r>
      <w:r>
        <w:rPr>
          <w:sz w:val="20"/>
        </w:rPr>
        <w:t>hydrolats</w:t>
      </w:r>
      <w:r w:rsidR="004611DC" w:rsidRPr="001F72D4">
        <w:rPr>
          <w:sz w:val="20"/>
        </w:rPr>
        <w:t xml:space="preserve"> peut atteindre 80% pour l’HD pour une concentration &gt; 20 µg EAG/mL, 85% pour l’EVE pour une concentrati</w:t>
      </w:r>
      <w:r>
        <w:rPr>
          <w:sz w:val="20"/>
        </w:rPr>
        <w:t>on &gt;</w:t>
      </w:r>
      <w:r w:rsidR="006E638B">
        <w:rPr>
          <w:sz w:val="20"/>
        </w:rPr>
        <w:t xml:space="preserve"> 1 µg EAG/mL et 80% pour l’H</w:t>
      </w:r>
      <w:r w:rsidR="004611DC" w:rsidRPr="001F72D4">
        <w:rPr>
          <w:sz w:val="20"/>
        </w:rPr>
        <w:t>diff pour une concentration &gt; 2 µg EAG/mL</w:t>
      </w:r>
      <w:r>
        <w:rPr>
          <w:sz w:val="20"/>
        </w:rPr>
        <w:t xml:space="preserve"> comme le montrent les figures 1 à 3</w:t>
      </w:r>
      <w:r w:rsidR="004611DC" w:rsidRPr="001F72D4">
        <w:rPr>
          <w:sz w:val="20"/>
        </w:rPr>
        <w:t>. Ceci indique le fort pouvoir antioxydant des hydrolats que nous pouvons associer aux teneurs élevées en polyphénols.</w:t>
      </w:r>
      <w:r w:rsidR="000262A7">
        <w:rPr>
          <w:sz w:val="20"/>
          <w:lang w:val="fr-FR"/>
        </w:rPr>
        <w:t>L</w:t>
      </w:r>
      <w:r w:rsidR="004611DC" w:rsidRPr="001F72D4">
        <w:rPr>
          <w:sz w:val="20"/>
          <w:lang w:val="fr-FR"/>
        </w:rPr>
        <w:t>es IC</w:t>
      </w:r>
      <w:r w:rsidR="004611DC" w:rsidRPr="001F72D4">
        <w:rPr>
          <w:sz w:val="20"/>
          <w:vertAlign w:val="subscript"/>
          <w:lang w:val="fr-FR"/>
        </w:rPr>
        <w:t>50</w:t>
      </w:r>
      <w:r w:rsidR="0098237B">
        <w:rPr>
          <w:sz w:val="20"/>
          <w:lang w:val="fr-FR"/>
        </w:rPr>
        <w:t xml:space="preserve"> des hydrolats</w:t>
      </w:r>
      <w:r w:rsidR="004611DC" w:rsidRPr="001F72D4">
        <w:rPr>
          <w:sz w:val="20"/>
          <w:lang w:val="fr-FR"/>
        </w:rPr>
        <w:t>, confirment bien que les hydrolats possèdent des activités antioxydantes élevées. Comparée à l’in</w:t>
      </w:r>
      <w:r w:rsidR="000262A7">
        <w:rPr>
          <w:sz w:val="20"/>
          <w:lang w:val="fr-FR"/>
        </w:rPr>
        <w:t>ule visqu</w:t>
      </w:r>
      <w:r w:rsidR="006E638B">
        <w:rPr>
          <w:sz w:val="20"/>
          <w:lang w:val="fr-FR"/>
        </w:rPr>
        <w:t>euse du Portugal, l’</w:t>
      </w:r>
      <w:r w:rsidR="00E00C18">
        <w:rPr>
          <w:sz w:val="20"/>
          <w:lang w:val="fr-FR"/>
        </w:rPr>
        <w:t xml:space="preserve">inule  algérienne  </w:t>
      </w:r>
      <w:r w:rsidR="000262A7">
        <w:rPr>
          <w:sz w:val="20"/>
          <w:lang w:val="fr-FR"/>
        </w:rPr>
        <w:t>est meilleure en terme</w:t>
      </w:r>
      <w:r w:rsidR="004611DC" w:rsidRPr="001F72D4">
        <w:rPr>
          <w:sz w:val="20"/>
          <w:lang w:val="fr-FR"/>
        </w:rPr>
        <w:t xml:space="preserve"> d’activitéantioxydante, en effet l’IC</w:t>
      </w:r>
      <w:r w:rsidR="004611DC" w:rsidRPr="001F72D4">
        <w:rPr>
          <w:sz w:val="20"/>
          <w:vertAlign w:val="subscript"/>
          <w:lang w:val="fr-FR"/>
        </w:rPr>
        <w:t>50</w:t>
      </w:r>
      <w:r w:rsidR="00ED33FA">
        <w:rPr>
          <w:sz w:val="20"/>
          <w:lang w:val="fr-FR"/>
        </w:rPr>
        <w:t xml:space="preserve"> obtenu dans l’étude</w:t>
      </w:r>
      <w:r w:rsidR="000262A7" w:rsidRPr="000262A7">
        <w:rPr>
          <w:bCs/>
          <w:sz w:val="20"/>
          <w:lang w:val="fr-FR"/>
        </w:rPr>
        <w:t>[</w:t>
      </w:r>
      <w:r w:rsidR="00ED33FA">
        <w:rPr>
          <w:bCs/>
          <w:sz w:val="20"/>
          <w:lang w:val="fr-FR"/>
        </w:rPr>
        <w:t>8</w:t>
      </w:r>
      <w:r w:rsidR="004611DC" w:rsidRPr="000262A7">
        <w:rPr>
          <w:bCs/>
          <w:sz w:val="20"/>
          <w:lang w:val="fr-FR"/>
        </w:rPr>
        <w:t>]</w:t>
      </w:r>
      <w:r w:rsidR="00E442E3">
        <w:rPr>
          <w:sz w:val="20"/>
          <w:lang w:val="fr-FR"/>
        </w:rPr>
        <w:t>est de 4,0±0,</w:t>
      </w:r>
      <w:r w:rsidR="004611DC" w:rsidRPr="001F72D4">
        <w:rPr>
          <w:sz w:val="20"/>
          <w:lang w:val="fr-FR"/>
        </w:rPr>
        <w:t xml:space="preserve">0 µg/mL. </w:t>
      </w:r>
    </w:p>
    <w:p w:rsidR="00E00C18" w:rsidRDefault="00E00C18" w:rsidP="000262A7">
      <w:pPr>
        <w:pStyle w:val="Para"/>
        <w:spacing w:before="180" w:after="180" w:line="240" w:lineRule="auto"/>
        <w:contextualSpacing/>
        <w:rPr>
          <w:sz w:val="20"/>
          <w:lang w:val="fr-FR"/>
        </w:rPr>
      </w:pPr>
    </w:p>
    <w:p w:rsidR="004611DC" w:rsidRDefault="005C3605" w:rsidP="00E00C18">
      <w:pPr>
        <w:pStyle w:val="Para"/>
        <w:spacing w:before="0" w:after="0" w:line="240" w:lineRule="auto"/>
        <w:contextualSpacing/>
        <w:jc w:val="center"/>
        <w:rPr>
          <w:sz w:val="20"/>
        </w:rPr>
      </w:pPr>
      <w:r w:rsidRPr="001F72D4">
        <w:rPr>
          <w:noProof/>
          <w:sz w:val="20"/>
          <w:lang w:val="fr-FR"/>
        </w:rPr>
        <w:drawing>
          <wp:inline distT="0" distB="0" distL="0" distR="0">
            <wp:extent cx="2880000" cy="1461600"/>
            <wp:effectExtent l="0" t="0" r="15875" b="2476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754E" w:rsidRPr="00FD4F85" w:rsidRDefault="00FD4F85" w:rsidP="006F54BB">
      <w:pPr>
        <w:pStyle w:val="Para"/>
        <w:spacing w:before="0" w:after="0" w:line="240" w:lineRule="auto"/>
        <w:contextualSpacing/>
        <w:jc w:val="center"/>
        <w:rPr>
          <w:sz w:val="16"/>
          <w:szCs w:val="16"/>
        </w:rPr>
      </w:pPr>
      <w:bookmarkStart w:id="6" w:name="_Toc421485558"/>
      <w:r>
        <w:rPr>
          <w:bCs/>
          <w:sz w:val="16"/>
          <w:szCs w:val="16"/>
        </w:rPr>
        <w:t>Fig.</w:t>
      </w:r>
      <w:r w:rsidR="002A3025" w:rsidRPr="00FD4F85">
        <w:rPr>
          <w:bCs/>
          <w:sz w:val="16"/>
          <w:szCs w:val="16"/>
        </w:rPr>
        <w:t xml:space="preserve"> 1</w:t>
      </w:r>
      <w:r w:rsidR="000A754E" w:rsidRPr="00FD4F85">
        <w:rPr>
          <w:b/>
          <w:bCs/>
          <w:sz w:val="16"/>
          <w:szCs w:val="16"/>
        </w:rPr>
        <w:t xml:space="preserve"> : </w:t>
      </w:r>
      <w:r w:rsidR="000A754E" w:rsidRPr="00FD4F85">
        <w:rPr>
          <w:sz w:val="16"/>
          <w:szCs w:val="16"/>
        </w:rPr>
        <w:t xml:space="preserve">AA (%) de l’hydrolat obtenus par HD </w:t>
      </w:r>
      <w:bookmarkEnd w:id="6"/>
      <w:r w:rsidR="000A754E" w:rsidRPr="00FD4F85">
        <w:rPr>
          <w:sz w:val="16"/>
          <w:szCs w:val="16"/>
        </w:rPr>
        <w:t>en fonction de la concentration en polyphénols</w:t>
      </w:r>
    </w:p>
    <w:p w:rsidR="000A754E" w:rsidRDefault="000A754E" w:rsidP="005C3605">
      <w:pPr>
        <w:pStyle w:val="Para"/>
        <w:spacing w:before="0" w:after="0" w:line="240" w:lineRule="auto"/>
        <w:contextualSpacing/>
        <w:rPr>
          <w:sz w:val="20"/>
        </w:rPr>
      </w:pPr>
      <w:r w:rsidRPr="001F72D4">
        <w:rPr>
          <w:noProof/>
          <w:sz w:val="20"/>
          <w:lang w:val="fr-FR"/>
        </w:rPr>
        <w:lastRenderedPageBreak/>
        <w:drawing>
          <wp:inline distT="0" distB="0" distL="0" distR="0">
            <wp:extent cx="2937600" cy="1605600"/>
            <wp:effectExtent l="0" t="0" r="15240" b="1397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7D47" w:rsidRPr="00FD4F85" w:rsidRDefault="00FD4F85" w:rsidP="006F54BB">
      <w:pPr>
        <w:pStyle w:val="Para"/>
        <w:spacing w:before="0" w:after="0" w:line="240" w:lineRule="auto"/>
        <w:contextualSpacing/>
        <w:jc w:val="center"/>
        <w:rPr>
          <w:sz w:val="16"/>
          <w:szCs w:val="16"/>
        </w:rPr>
      </w:pPr>
      <w:bookmarkStart w:id="7" w:name="_Toc421485559"/>
      <w:r>
        <w:rPr>
          <w:bCs/>
          <w:sz w:val="16"/>
          <w:szCs w:val="16"/>
        </w:rPr>
        <w:t>Fig.</w:t>
      </w:r>
      <w:r w:rsidR="00797D47" w:rsidRPr="00FD4F85">
        <w:rPr>
          <w:bCs/>
          <w:sz w:val="16"/>
          <w:szCs w:val="16"/>
        </w:rPr>
        <w:t> </w:t>
      </w:r>
      <w:r w:rsidR="005C3605" w:rsidRPr="00FD4F85">
        <w:rPr>
          <w:bCs/>
          <w:sz w:val="16"/>
          <w:szCs w:val="16"/>
        </w:rPr>
        <w:t>2</w:t>
      </w:r>
      <w:r w:rsidR="00797D47" w:rsidRPr="00FD4F85">
        <w:rPr>
          <w:bCs/>
          <w:sz w:val="16"/>
          <w:szCs w:val="16"/>
        </w:rPr>
        <w:t>:</w:t>
      </w:r>
      <w:r w:rsidR="00797D47" w:rsidRPr="00FD4F85">
        <w:rPr>
          <w:sz w:val="16"/>
          <w:szCs w:val="16"/>
        </w:rPr>
        <w:t xml:space="preserve">AA (%) de l’hydrolat obtenus par EVE </w:t>
      </w:r>
      <w:bookmarkEnd w:id="7"/>
      <w:r w:rsidR="00797D47" w:rsidRPr="00FD4F85">
        <w:rPr>
          <w:sz w:val="16"/>
          <w:szCs w:val="16"/>
        </w:rPr>
        <w:t>en fonction de la concentration en polyphénols</w:t>
      </w:r>
    </w:p>
    <w:p w:rsidR="005C3605" w:rsidRPr="00FD4F85" w:rsidRDefault="005C3605" w:rsidP="005F6B3F">
      <w:pPr>
        <w:pStyle w:val="Para"/>
        <w:spacing w:before="0" w:after="0" w:line="240" w:lineRule="auto"/>
        <w:ind w:firstLine="709"/>
        <w:contextualSpacing/>
        <w:rPr>
          <w:sz w:val="16"/>
          <w:szCs w:val="16"/>
        </w:rPr>
      </w:pPr>
    </w:p>
    <w:p w:rsidR="005C3605" w:rsidRDefault="005C3605" w:rsidP="005C3605">
      <w:pPr>
        <w:pStyle w:val="Para"/>
        <w:spacing w:before="0" w:after="0" w:line="240" w:lineRule="auto"/>
        <w:contextualSpacing/>
        <w:rPr>
          <w:sz w:val="20"/>
        </w:rPr>
      </w:pPr>
      <w:r w:rsidRPr="001F72D4">
        <w:rPr>
          <w:noProof/>
          <w:sz w:val="20"/>
          <w:lang w:val="fr-FR"/>
        </w:rPr>
        <w:drawing>
          <wp:inline distT="0" distB="0" distL="0" distR="0">
            <wp:extent cx="2872800" cy="1713600"/>
            <wp:effectExtent l="0" t="0" r="22860" b="2032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605" w:rsidRPr="00FD4F85" w:rsidRDefault="00FD4F85" w:rsidP="006F54BB">
      <w:pPr>
        <w:tabs>
          <w:tab w:val="left" w:pos="4588"/>
        </w:tabs>
        <w:contextualSpacing/>
        <w:jc w:val="center"/>
        <w:rPr>
          <w:rFonts w:ascii="Times New Roman" w:hAnsi="Times New Roman" w:cs="Times New Roman"/>
          <w:sz w:val="16"/>
          <w:szCs w:val="16"/>
        </w:rPr>
      </w:pPr>
      <w:bookmarkStart w:id="8" w:name="_Toc421485560"/>
      <w:r>
        <w:rPr>
          <w:rFonts w:ascii="Times New Roman" w:hAnsi="Times New Roman" w:cs="Times New Roman"/>
          <w:bCs/>
          <w:sz w:val="16"/>
          <w:szCs w:val="16"/>
        </w:rPr>
        <w:t>Fig.</w:t>
      </w:r>
      <w:r w:rsidR="005C3605" w:rsidRPr="00FD4F85">
        <w:rPr>
          <w:rFonts w:ascii="Times New Roman" w:hAnsi="Times New Roman" w:cs="Times New Roman"/>
          <w:bCs/>
          <w:sz w:val="16"/>
          <w:szCs w:val="16"/>
        </w:rPr>
        <w:t> 3:</w:t>
      </w:r>
      <w:r w:rsidR="005C3605" w:rsidRPr="00FD4F85">
        <w:rPr>
          <w:rFonts w:ascii="Times New Roman" w:hAnsi="Times New Roman" w:cs="Times New Roman"/>
          <w:sz w:val="16"/>
          <w:szCs w:val="16"/>
        </w:rPr>
        <w:t>AA (%) de l’hydrolat obtenus par Hdiff</w:t>
      </w:r>
      <w:bookmarkEnd w:id="8"/>
      <w:r w:rsidR="005C3605" w:rsidRPr="00FD4F85">
        <w:rPr>
          <w:rFonts w:ascii="Times New Roman" w:hAnsi="Times New Roman" w:cs="Times New Roman"/>
          <w:sz w:val="16"/>
          <w:szCs w:val="16"/>
        </w:rPr>
        <w:t>en fonction de la concentration en polyphénols</w:t>
      </w:r>
      <w:r w:rsidR="008066FC" w:rsidRPr="00FD4F85">
        <w:rPr>
          <w:rFonts w:ascii="Times New Roman" w:hAnsi="Times New Roman" w:cs="Times New Roman"/>
          <w:sz w:val="16"/>
          <w:szCs w:val="16"/>
        </w:rPr>
        <w:t>.</w:t>
      </w:r>
    </w:p>
    <w:p w:rsidR="005C3605" w:rsidRDefault="00E442E3" w:rsidP="00E00C18">
      <w:pPr>
        <w:pStyle w:val="Titre2"/>
        <w:spacing w:before="150" w:after="60"/>
        <w:contextualSpacing/>
        <w:rPr>
          <w:rFonts w:ascii="Times New Roman" w:hAnsi="Times New Roman" w:cs="Times New Roman"/>
          <w:b w:val="0"/>
          <w:i/>
          <w:color w:val="auto"/>
          <w:sz w:val="20"/>
          <w:szCs w:val="20"/>
        </w:rPr>
      </w:pPr>
      <w:bookmarkStart w:id="9" w:name="_Toc421492983"/>
      <w:r>
        <w:rPr>
          <w:rFonts w:ascii="Times New Roman" w:hAnsi="Times New Roman" w:cs="Times New Roman"/>
          <w:b w:val="0"/>
          <w:i/>
          <w:color w:val="auto"/>
          <w:sz w:val="20"/>
          <w:szCs w:val="20"/>
        </w:rPr>
        <w:t>D.</w:t>
      </w:r>
      <w:r w:rsidR="00C01537" w:rsidRPr="004611DC">
        <w:rPr>
          <w:rFonts w:ascii="Times New Roman" w:hAnsi="Times New Roman" w:cs="Times New Roman"/>
          <w:b w:val="0"/>
          <w:i/>
          <w:color w:val="auto"/>
          <w:sz w:val="20"/>
          <w:szCs w:val="20"/>
        </w:rPr>
        <w:t>Extraits obtenus par extraction dans un Soxhlet</w:t>
      </w:r>
      <w:bookmarkEnd w:id="9"/>
    </w:p>
    <w:p w:rsidR="004611DC" w:rsidRPr="005C3605" w:rsidRDefault="004611DC" w:rsidP="005C3605">
      <w:pPr>
        <w:pStyle w:val="Titre2"/>
        <w:spacing w:after="240"/>
        <w:contextualSpacing/>
        <w:rPr>
          <w:rFonts w:ascii="Times New Roman" w:hAnsi="Times New Roman" w:cs="Times New Roman"/>
          <w:b w:val="0"/>
          <w:i/>
          <w:color w:val="auto"/>
          <w:sz w:val="20"/>
          <w:szCs w:val="20"/>
        </w:rPr>
      </w:pPr>
      <w:r w:rsidRPr="005C3605">
        <w:rPr>
          <w:rFonts w:ascii="Times New Roman" w:hAnsi="Times New Roman" w:cs="Times New Roman"/>
          <w:b w:val="0"/>
          <w:color w:val="auto"/>
          <w:sz w:val="20"/>
        </w:rPr>
        <w:t>Les résultats</w:t>
      </w:r>
      <w:r w:rsidR="00FD4F85">
        <w:rPr>
          <w:rFonts w:ascii="Times New Roman" w:hAnsi="Times New Roman" w:cs="Times New Roman"/>
          <w:b w:val="0"/>
          <w:color w:val="auto"/>
          <w:sz w:val="20"/>
        </w:rPr>
        <w:t xml:space="preserve"> : </w:t>
      </w:r>
      <w:r w:rsidRPr="005C3605">
        <w:rPr>
          <w:rFonts w:ascii="Times New Roman" w:hAnsi="Times New Roman" w:cs="Times New Roman"/>
          <w:b w:val="0"/>
          <w:color w:val="auto"/>
          <w:sz w:val="20"/>
        </w:rPr>
        <w:t>IC</w:t>
      </w:r>
      <w:r w:rsidRPr="005C3605">
        <w:rPr>
          <w:rFonts w:ascii="Times New Roman" w:hAnsi="Times New Roman" w:cs="Times New Roman"/>
          <w:b w:val="0"/>
          <w:color w:val="auto"/>
          <w:sz w:val="20"/>
          <w:vertAlign w:val="subscript"/>
        </w:rPr>
        <w:t>50</w:t>
      </w:r>
      <w:r w:rsidR="00FD4F85">
        <w:rPr>
          <w:rFonts w:ascii="Times New Roman" w:hAnsi="Times New Roman" w:cs="Times New Roman"/>
          <w:b w:val="0"/>
          <w:color w:val="auto"/>
          <w:sz w:val="20"/>
        </w:rPr>
        <w:t xml:space="preserve"> et TPT</w:t>
      </w:r>
      <w:r w:rsidRPr="005C3605">
        <w:rPr>
          <w:rFonts w:ascii="Times New Roman" w:hAnsi="Times New Roman" w:cs="Times New Roman"/>
          <w:b w:val="0"/>
          <w:color w:val="auto"/>
          <w:sz w:val="20"/>
        </w:rPr>
        <w:t xml:space="preserve"> so</w:t>
      </w:r>
      <w:r w:rsidR="00FD4F85">
        <w:rPr>
          <w:rFonts w:ascii="Times New Roman" w:hAnsi="Times New Roman" w:cs="Times New Roman"/>
          <w:b w:val="0"/>
          <w:color w:val="auto"/>
          <w:sz w:val="20"/>
        </w:rPr>
        <w:t>nt regroupés dans le tableau II</w:t>
      </w:r>
      <w:r w:rsidRPr="005C3605">
        <w:rPr>
          <w:rFonts w:ascii="Times New Roman" w:hAnsi="Times New Roman" w:cs="Times New Roman"/>
          <w:b w:val="0"/>
          <w:color w:val="auto"/>
          <w:sz w:val="20"/>
        </w:rPr>
        <w:t>.</w:t>
      </w:r>
    </w:p>
    <w:p w:rsidR="00FD4F85" w:rsidRDefault="004611DC" w:rsidP="00405473">
      <w:pPr>
        <w:pStyle w:val="Para"/>
        <w:spacing w:before="0" w:after="0" w:line="240" w:lineRule="auto"/>
        <w:contextualSpacing/>
        <w:jc w:val="center"/>
        <w:rPr>
          <w:bCs/>
          <w:caps/>
          <w:sz w:val="16"/>
          <w:szCs w:val="16"/>
        </w:rPr>
      </w:pPr>
      <w:bookmarkStart w:id="10" w:name="_Toc421486956"/>
      <w:r w:rsidRPr="00405473">
        <w:rPr>
          <w:bCs/>
          <w:caps/>
          <w:sz w:val="16"/>
          <w:szCs w:val="16"/>
        </w:rPr>
        <w:t>Tableau</w:t>
      </w:r>
      <w:r w:rsidR="00FD4F85">
        <w:rPr>
          <w:bCs/>
          <w:caps/>
          <w:sz w:val="16"/>
          <w:szCs w:val="16"/>
        </w:rPr>
        <w:t xml:space="preserve"> II</w:t>
      </w:r>
    </w:p>
    <w:p w:rsidR="004611DC" w:rsidRPr="00405473" w:rsidRDefault="004611DC" w:rsidP="00405473">
      <w:pPr>
        <w:pStyle w:val="Para"/>
        <w:spacing w:before="0" w:after="0" w:line="240" w:lineRule="auto"/>
        <w:contextualSpacing/>
        <w:jc w:val="center"/>
        <w:rPr>
          <w:caps/>
          <w:color w:val="231F20"/>
          <w:sz w:val="16"/>
          <w:szCs w:val="16"/>
        </w:rPr>
      </w:pPr>
      <w:r w:rsidRPr="00405473">
        <w:rPr>
          <w:caps/>
          <w:sz w:val="16"/>
          <w:szCs w:val="16"/>
        </w:rPr>
        <w:t xml:space="preserve"> Activités antioxydantes représentées par IC</w:t>
      </w:r>
      <w:r w:rsidR="00C60DA8" w:rsidRPr="00405473">
        <w:rPr>
          <w:caps/>
          <w:sz w:val="16"/>
          <w:szCs w:val="16"/>
          <w:vertAlign w:val="subscript"/>
        </w:rPr>
        <w:t>50</w:t>
      </w:r>
      <w:r w:rsidRPr="00405473">
        <w:rPr>
          <w:caps/>
          <w:sz w:val="16"/>
          <w:szCs w:val="16"/>
        </w:rPr>
        <w:t xml:space="preserve"> et teneurs en polyphénols des extraits de l’inule visqueuse.</w:t>
      </w:r>
      <w:bookmarkEnd w:id="10"/>
    </w:p>
    <w:tbl>
      <w:tblPr>
        <w:tblStyle w:val="Grilledutableau"/>
        <w:tblW w:w="4784" w:type="pct"/>
        <w:tblLook w:val="04A0"/>
      </w:tblPr>
      <w:tblGrid>
        <w:gridCol w:w="1075"/>
        <w:gridCol w:w="1576"/>
        <w:gridCol w:w="2521"/>
      </w:tblGrid>
      <w:tr w:rsidR="004611DC" w:rsidRPr="001F72D4" w:rsidTr="005C3605">
        <w:trPr>
          <w:trHeight w:val="585"/>
        </w:trPr>
        <w:tc>
          <w:tcPr>
            <w:tcW w:w="1039" w:type="pct"/>
            <w:vAlign w:val="center"/>
          </w:tcPr>
          <w:p w:rsidR="004611DC" w:rsidRPr="004611DC" w:rsidRDefault="004611DC" w:rsidP="005A18DA">
            <w:pPr>
              <w:spacing w:before="60" w:after="60"/>
              <w:contextualSpacing/>
              <w:jc w:val="center"/>
              <w:rPr>
                <w:b/>
                <w:bCs/>
                <w:color w:val="000000"/>
                <w:sz w:val="18"/>
                <w:szCs w:val="18"/>
              </w:rPr>
            </w:pPr>
            <w:r w:rsidRPr="004611DC">
              <w:rPr>
                <w:b/>
                <w:bCs/>
                <w:color w:val="000000"/>
                <w:sz w:val="18"/>
                <w:szCs w:val="18"/>
              </w:rPr>
              <w:t>Extrait</w:t>
            </w:r>
          </w:p>
        </w:tc>
        <w:tc>
          <w:tcPr>
            <w:tcW w:w="1524" w:type="pct"/>
            <w:vAlign w:val="center"/>
          </w:tcPr>
          <w:p w:rsidR="004611DC" w:rsidRPr="004611DC" w:rsidRDefault="004611DC" w:rsidP="005A18DA">
            <w:pPr>
              <w:pStyle w:val="Para"/>
              <w:spacing w:before="60" w:after="60" w:line="240" w:lineRule="auto"/>
              <w:contextualSpacing/>
              <w:jc w:val="center"/>
              <w:rPr>
                <w:b/>
                <w:bCs/>
                <w:sz w:val="18"/>
                <w:szCs w:val="18"/>
                <w:vertAlign w:val="subscript"/>
              </w:rPr>
            </w:pPr>
            <w:r w:rsidRPr="004611DC">
              <w:rPr>
                <w:b/>
                <w:bCs/>
                <w:sz w:val="18"/>
                <w:szCs w:val="18"/>
              </w:rPr>
              <w:t>IC</w:t>
            </w:r>
            <w:r w:rsidRPr="004611DC">
              <w:rPr>
                <w:b/>
                <w:bCs/>
                <w:sz w:val="18"/>
                <w:szCs w:val="18"/>
                <w:vertAlign w:val="subscript"/>
              </w:rPr>
              <w:t xml:space="preserve">50   </w:t>
            </w:r>
            <w:r w:rsidRPr="004611DC">
              <w:rPr>
                <w:b/>
                <w:bCs/>
                <w:sz w:val="18"/>
                <w:szCs w:val="18"/>
              </w:rPr>
              <w:t>(µg/ mL)</w:t>
            </w:r>
          </w:p>
        </w:tc>
        <w:tc>
          <w:tcPr>
            <w:tcW w:w="2438" w:type="pct"/>
            <w:vAlign w:val="center"/>
          </w:tcPr>
          <w:p w:rsidR="004611DC" w:rsidRPr="004611DC" w:rsidRDefault="004611DC" w:rsidP="005A18DA">
            <w:pPr>
              <w:pStyle w:val="Para"/>
              <w:spacing w:before="60" w:after="60" w:line="240" w:lineRule="auto"/>
              <w:contextualSpacing/>
              <w:jc w:val="center"/>
              <w:rPr>
                <w:b/>
                <w:bCs/>
                <w:color w:val="231F20"/>
                <w:sz w:val="18"/>
                <w:szCs w:val="18"/>
              </w:rPr>
            </w:pPr>
            <w:r w:rsidRPr="004611DC">
              <w:rPr>
                <w:b/>
                <w:bCs/>
                <w:color w:val="231F20"/>
                <w:sz w:val="18"/>
                <w:szCs w:val="18"/>
              </w:rPr>
              <w:t>Polyphénols totaux    (mg AGE/ g MS)</w:t>
            </w:r>
          </w:p>
        </w:tc>
      </w:tr>
      <w:tr w:rsidR="004611DC" w:rsidRPr="001F72D4" w:rsidTr="005C3605">
        <w:trPr>
          <w:trHeight w:val="413"/>
        </w:trPr>
        <w:tc>
          <w:tcPr>
            <w:tcW w:w="1039" w:type="pct"/>
            <w:vAlign w:val="center"/>
          </w:tcPr>
          <w:p w:rsidR="004611DC" w:rsidRPr="004611DC" w:rsidRDefault="004611DC" w:rsidP="00C538BF">
            <w:pPr>
              <w:spacing w:before="60" w:after="60"/>
              <w:contextualSpacing/>
              <w:jc w:val="center"/>
              <w:rPr>
                <w:color w:val="000000"/>
                <w:sz w:val="18"/>
                <w:szCs w:val="18"/>
              </w:rPr>
            </w:pPr>
            <w:r w:rsidRPr="004611DC">
              <w:rPr>
                <w:color w:val="000000"/>
                <w:sz w:val="18"/>
                <w:szCs w:val="18"/>
              </w:rPr>
              <w:t xml:space="preserve">Méthanol </w:t>
            </w:r>
          </w:p>
        </w:tc>
        <w:tc>
          <w:tcPr>
            <w:tcW w:w="1524"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5,33 ± 0,58</w:t>
            </w:r>
          </w:p>
        </w:tc>
        <w:tc>
          <w:tcPr>
            <w:tcW w:w="2438"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106,34 ± 1,49</w:t>
            </w:r>
          </w:p>
        </w:tc>
      </w:tr>
      <w:tr w:rsidR="004611DC" w:rsidRPr="001F72D4" w:rsidTr="005C3605">
        <w:trPr>
          <w:trHeight w:val="405"/>
        </w:trPr>
        <w:tc>
          <w:tcPr>
            <w:tcW w:w="1039" w:type="pct"/>
            <w:vAlign w:val="center"/>
          </w:tcPr>
          <w:p w:rsidR="004611DC" w:rsidRPr="004611DC" w:rsidRDefault="004611DC" w:rsidP="00C538BF">
            <w:pPr>
              <w:pStyle w:val="Para"/>
              <w:spacing w:before="60" w:after="60" w:line="240" w:lineRule="auto"/>
              <w:contextualSpacing/>
              <w:jc w:val="center"/>
              <w:rPr>
                <w:color w:val="231F20"/>
                <w:sz w:val="18"/>
                <w:szCs w:val="18"/>
              </w:rPr>
            </w:pPr>
            <w:r w:rsidRPr="004611DC">
              <w:rPr>
                <w:color w:val="231F20"/>
                <w:sz w:val="18"/>
                <w:szCs w:val="18"/>
              </w:rPr>
              <w:t xml:space="preserve">Éthanol </w:t>
            </w:r>
          </w:p>
        </w:tc>
        <w:tc>
          <w:tcPr>
            <w:tcW w:w="1524" w:type="pct"/>
            <w:vAlign w:val="center"/>
          </w:tcPr>
          <w:p w:rsidR="004611DC" w:rsidRPr="004611DC" w:rsidRDefault="004611DC" w:rsidP="005A18DA">
            <w:pPr>
              <w:spacing w:before="60" w:after="60"/>
              <w:contextualSpacing/>
              <w:jc w:val="center"/>
              <w:rPr>
                <w:color w:val="231F20"/>
                <w:sz w:val="18"/>
                <w:szCs w:val="18"/>
              </w:rPr>
            </w:pPr>
            <w:r w:rsidRPr="004611DC">
              <w:rPr>
                <w:color w:val="231F20"/>
                <w:sz w:val="18"/>
                <w:szCs w:val="18"/>
              </w:rPr>
              <w:t>17,67 ± 2,08</w:t>
            </w:r>
          </w:p>
        </w:tc>
        <w:tc>
          <w:tcPr>
            <w:tcW w:w="2438" w:type="pct"/>
            <w:vAlign w:val="center"/>
          </w:tcPr>
          <w:p w:rsidR="004611DC" w:rsidRPr="004611DC" w:rsidRDefault="004611DC" w:rsidP="005A18DA">
            <w:pPr>
              <w:spacing w:before="60" w:after="60"/>
              <w:contextualSpacing/>
              <w:jc w:val="center"/>
              <w:rPr>
                <w:color w:val="231F20"/>
                <w:sz w:val="18"/>
                <w:szCs w:val="18"/>
              </w:rPr>
            </w:pPr>
            <w:r w:rsidRPr="004611DC">
              <w:rPr>
                <w:color w:val="231F20"/>
                <w:sz w:val="18"/>
                <w:szCs w:val="18"/>
              </w:rPr>
              <w:t>70,79 ± 1,20</w:t>
            </w:r>
          </w:p>
        </w:tc>
      </w:tr>
      <w:tr w:rsidR="004611DC" w:rsidRPr="001F72D4" w:rsidTr="005C3605">
        <w:trPr>
          <w:trHeight w:val="425"/>
        </w:trPr>
        <w:tc>
          <w:tcPr>
            <w:tcW w:w="1039" w:type="pct"/>
            <w:vAlign w:val="center"/>
          </w:tcPr>
          <w:p w:rsidR="004611DC" w:rsidRPr="004611DC" w:rsidRDefault="004611DC" w:rsidP="00C538BF">
            <w:pPr>
              <w:pStyle w:val="Para"/>
              <w:spacing w:before="60" w:after="60" w:line="240" w:lineRule="auto"/>
              <w:contextualSpacing/>
              <w:jc w:val="center"/>
              <w:rPr>
                <w:color w:val="231F20"/>
                <w:sz w:val="18"/>
                <w:szCs w:val="18"/>
              </w:rPr>
            </w:pPr>
            <w:r w:rsidRPr="004611DC">
              <w:rPr>
                <w:color w:val="231F20"/>
                <w:sz w:val="18"/>
                <w:szCs w:val="18"/>
              </w:rPr>
              <w:t xml:space="preserve">Acétate d’éthyle </w:t>
            </w:r>
          </w:p>
        </w:tc>
        <w:tc>
          <w:tcPr>
            <w:tcW w:w="1524"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22,00 ± 2,00</w:t>
            </w:r>
          </w:p>
        </w:tc>
        <w:tc>
          <w:tcPr>
            <w:tcW w:w="2438"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64,32 ± 1,28</w:t>
            </w:r>
          </w:p>
        </w:tc>
      </w:tr>
      <w:tr w:rsidR="004611DC" w:rsidRPr="001F72D4" w:rsidTr="005C3605">
        <w:trPr>
          <w:trHeight w:val="405"/>
        </w:trPr>
        <w:tc>
          <w:tcPr>
            <w:tcW w:w="1039" w:type="pct"/>
            <w:vAlign w:val="center"/>
          </w:tcPr>
          <w:p w:rsidR="004611DC" w:rsidRPr="004611DC" w:rsidRDefault="004611DC" w:rsidP="00C538BF">
            <w:pPr>
              <w:pStyle w:val="Para"/>
              <w:spacing w:before="60" w:after="60" w:line="240" w:lineRule="auto"/>
              <w:contextualSpacing/>
              <w:jc w:val="center"/>
              <w:rPr>
                <w:color w:val="231F20"/>
                <w:sz w:val="18"/>
                <w:szCs w:val="18"/>
              </w:rPr>
            </w:pPr>
            <w:r w:rsidRPr="004611DC">
              <w:rPr>
                <w:color w:val="231F20"/>
                <w:sz w:val="18"/>
                <w:szCs w:val="18"/>
              </w:rPr>
              <w:t xml:space="preserve">Acétone </w:t>
            </w:r>
          </w:p>
        </w:tc>
        <w:tc>
          <w:tcPr>
            <w:tcW w:w="1524"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30,00 ± 5,00</w:t>
            </w:r>
          </w:p>
        </w:tc>
        <w:tc>
          <w:tcPr>
            <w:tcW w:w="2438"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51,25 ± 0,71</w:t>
            </w:r>
          </w:p>
        </w:tc>
      </w:tr>
      <w:tr w:rsidR="004611DC" w:rsidRPr="001F72D4" w:rsidTr="005C3605">
        <w:trPr>
          <w:trHeight w:val="413"/>
        </w:trPr>
        <w:tc>
          <w:tcPr>
            <w:tcW w:w="1039" w:type="pct"/>
            <w:vAlign w:val="center"/>
          </w:tcPr>
          <w:p w:rsidR="004611DC" w:rsidRPr="004611DC" w:rsidRDefault="004611DC" w:rsidP="00C538BF">
            <w:pPr>
              <w:pStyle w:val="Para"/>
              <w:spacing w:before="60" w:after="60" w:line="240" w:lineRule="auto"/>
              <w:contextualSpacing/>
              <w:jc w:val="center"/>
              <w:rPr>
                <w:color w:val="231F20"/>
                <w:sz w:val="18"/>
                <w:szCs w:val="18"/>
              </w:rPr>
            </w:pPr>
            <w:r w:rsidRPr="004611DC">
              <w:rPr>
                <w:color w:val="231F20"/>
                <w:sz w:val="18"/>
                <w:szCs w:val="18"/>
              </w:rPr>
              <w:t xml:space="preserve">Hexane </w:t>
            </w:r>
          </w:p>
        </w:tc>
        <w:tc>
          <w:tcPr>
            <w:tcW w:w="1524"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790,00 ± 10,00</w:t>
            </w:r>
          </w:p>
        </w:tc>
        <w:tc>
          <w:tcPr>
            <w:tcW w:w="2438" w:type="pct"/>
            <w:vAlign w:val="center"/>
          </w:tcPr>
          <w:p w:rsidR="004611DC" w:rsidRPr="004611DC" w:rsidRDefault="004611DC" w:rsidP="005A18DA">
            <w:pPr>
              <w:pStyle w:val="Para"/>
              <w:spacing w:before="60" w:after="60" w:line="240" w:lineRule="auto"/>
              <w:contextualSpacing/>
              <w:jc w:val="center"/>
              <w:rPr>
                <w:color w:val="231F20"/>
                <w:sz w:val="18"/>
                <w:szCs w:val="18"/>
              </w:rPr>
            </w:pPr>
            <w:r w:rsidRPr="004611DC">
              <w:rPr>
                <w:color w:val="231F20"/>
                <w:sz w:val="18"/>
                <w:szCs w:val="18"/>
              </w:rPr>
              <w:t>17,03 ± 0,43</w:t>
            </w:r>
          </w:p>
        </w:tc>
      </w:tr>
    </w:tbl>
    <w:p w:rsidR="004611DC" w:rsidRPr="001F72D4" w:rsidRDefault="004611DC" w:rsidP="000A754E">
      <w:pPr>
        <w:pStyle w:val="Para"/>
        <w:tabs>
          <w:tab w:val="left" w:pos="1159"/>
        </w:tabs>
        <w:spacing w:before="240" w:after="240" w:line="240" w:lineRule="auto"/>
        <w:contextualSpacing/>
        <w:rPr>
          <w:color w:val="000000" w:themeColor="text1"/>
          <w:sz w:val="20"/>
        </w:rPr>
      </w:pPr>
      <w:r w:rsidRPr="001F72D4">
        <w:rPr>
          <w:color w:val="000000" w:themeColor="text1"/>
          <w:sz w:val="20"/>
        </w:rPr>
        <w:t>Les résultats du test DPPH montrent que l’extrait méthanolique possède l’activité</w:t>
      </w:r>
      <w:r w:rsidR="000A754E">
        <w:rPr>
          <w:color w:val="000000" w:themeColor="text1"/>
          <w:sz w:val="20"/>
        </w:rPr>
        <w:t>antioxydante la plus élevé</w:t>
      </w:r>
      <w:r w:rsidR="000262A7">
        <w:rPr>
          <w:color w:val="000000" w:themeColor="text1"/>
          <w:sz w:val="20"/>
        </w:rPr>
        <w:t>e</w:t>
      </w:r>
      <w:r w:rsidRPr="001F72D4">
        <w:rPr>
          <w:color w:val="000000" w:themeColor="text1"/>
          <w:sz w:val="20"/>
        </w:rPr>
        <w:t>; l’hexan</w:t>
      </w:r>
      <w:r w:rsidR="00C60DA8">
        <w:rPr>
          <w:color w:val="000000" w:themeColor="text1"/>
          <w:sz w:val="20"/>
        </w:rPr>
        <w:t>e a montré la plus faible AA</w:t>
      </w:r>
      <w:r w:rsidRPr="001F72D4">
        <w:rPr>
          <w:color w:val="000000" w:themeColor="text1"/>
          <w:sz w:val="20"/>
        </w:rPr>
        <w:t>.</w:t>
      </w:r>
    </w:p>
    <w:p w:rsidR="004611DC" w:rsidRDefault="004611DC" w:rsidP="000A754E">
      <w:pPr>
        <w:pStyle w:val="Para"/>
        <w:tabs>
          <w:tab w:val="left" w:pos="1159"/>
        </w:tabs>
        <w:spacing w:before="240" w:after="240" w:line="240" w:lineRule="auto"/>
        <w:contextualSpacing/>
        <w:rPr>
          <w:color w:val="000000" w:themeColor="text1"/>
          <w:sz w:val="20"/>
        </w:rPr>
      </w:pPr>
      <w:r w:rsidRPr="001F72D4">
        <w:rPr>
          <w:color w:val="000000" w:themeColor="text1"/>
          <w:sz w:val="20"/>
        </w:rPr>
        <w:t>Nous remarquons que les teneurs en polyphénols suivent la même variation que celle des activités antioxydantes, l’extrait méthanolique est très riche en polyphén</w:t>
      </w:r>
      <w:r w:rsidR="000262A7">
        <w:rPr>
          <w:color w:val="000000" w:themeColor="text1"/>
          <w:sz w:val="20"/>
        </w:rPr>
        <w:t>ols</w:t>
      </w:r>
      <w:r w:rsidR="00906F74">
        <w:rPr>
          <w:color w:val="000000" w:themeColor="text1"/>
          <w:sz w:val="20"/>
        </w:rPr>
        <w:t>, une variation linéaire est observée pour les solvants polaires fig</w:t>
      </w:r>
      <w:r w:rsidR="00F46525">
        <w:rPr>
          <w:color w:val="000000" w:themeColor="text1"/>
          <w:sz w:val="20"/>
        </w:rPr>
        <w:t>. 4</w:t>
      </w:r>
      <w:r w:rsidRPr="001F72D4">
        <w:rPr>
          <w:color w:val="000000" w:themeColor="text1"/>
          <w:sz w:val="20"/>
        </w:rPr>
        <w:t>.</w:t>
      </w:r>
    </w:p>
    <w:p w:rsidR="00F46525" w:rsidRDefault="00F46525" w:rsidP="00F46525">
      <w:pPr>
        <w:pStyle w:val="Para"/>
        <w:tabs>
          <w:tab w:val="left" w:pos="1159"/>
        </w:tabs>
        <w:spacing w:before="240" w:after="240" w:line="240" w:lineRule="auto"/>
        <w:contextualSpacing/>
        <w:jc w:val="center"/>
        <w:rPr>
          <w:color w:val="000000" w:themeColor="text1"/>
          <w:sz w:val="20"/>
        </w:rPr>
      </w:pPr>
      <w:r w:rsidRPr="00E442E3">
        <w:rPr>
          <w:noProof/>
          <w:sz w:val="16"/>
          <w:szCs w:val="16"/>
          <w:lang w:val="fr-FR"/>
        </w:rPr>
        <w:lastRenderedPageBreak/>
        <w:drawing>
          <wp:inline distT="0" distB="0" distL="0" distR="0">
            <wp:extent cx="2952000" cy="1634400"/>
            <wp:effectExtent l="0" t="0" r="20320" b="2349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6525" w:rsidRDefault="00F46525" w:rsidP="00F46525">
      <w:pPr>
        <w:pStyle w:val="Para"/>
        <w:tabs>
          <w:tab w:val="left" w:pos="1159"/>
        </w:tabs>
        <w:spacing w:before="240" w:after="240" w:line="240" w:lineRule="auto"/>
        <w:contextualSpacing/>
        <w:jc w:val="center"/>
        <w:rPr>
          <w:color w:val="000000" w:themeColor="text1"/>
          <w:sz w:val="16"/>
          <w:szCs w:val="16"/>
        </w:rPr>
      </w:pPr>
      <w:r>
        <w:rPr>
          <w:color w:val="000000" w:themeColor="text1"/>
          <w:sz w:val="16"/>
          <w:szCs w:val="16"/>
        </w:rPr>
        <w:t>Fig.4 : variation de l’IC50 avec la teneur en polyphénols des différents solvants polaires utilisés</w:t>
      </w:r>
    </w:p>
    <w:p w:rsidR="007632E6" w:rsidRPr="00F46525" w:rsidRDefault="007632E6" w:rsidP="00F46525">
      <w:pPr>
        <w:pStyle w:val="Para"/>
        <w:tabs>
          <w:tab w:val="left" w:pos="1159"/>
        </w:tabs>
        <w:spacing w:before="240" w:after="240" w:line="240" w:lineRule="auto"/>
        <w:contextualSpacing/>
        <w:jc w:val="center"/>
        <w:rPr>
          <w:color w:val="000000" w:themeColor="text1"/>
          <w:sz w:val="16"/>
          <w:szCs w:val="16"/>
        </w:rPr>
      </w:pPr>
    </w:p>
    <w:p w:rsidR="007632E6" w:rsidRPr="00643DFF" w:rsidRDefault="004611DC" w:rsidP="00643DFF">
      <w:pPr>
        <w:pStyle w:val="Para"/>
        <w:tabs>
          <w:tab w:val="left" w:pos="1159"/>
        </w:tabs>
        <w:spacing w:before="240" w:after="240" w:line="240" w:lineRule="auto"/>
        <w:contextualSpacing/>
        <w:rPr>
          <w:b/>
          <w:bCs/>
          <w:color w:val="000000" w:themeColor="text1"/>
          <w:sz w:val="20"/>
          <w:lang w:val="fr-FR"/>
        </w:rPr>
      </w:pPr>
      <w:r w:rsidRPr="001F72D4">
        <w:rPr>
          <w:color w:val="000000" w:themeColor="text1"/>
          <w:sz w:val="20"/>
        </w:rPr>
        <w:t xml:space="preserve">Il a été rapporté </w:t>
      </w:r>
      <w:r w:rsidRPr="001F72D4">
        <w:rPr>
          <w:sz w:val="20"/>
        </w:rPr>
        <w:t xml:space="preserve">que la majorité des polyphénols sont classé comme antioxydants hydrophiles </w:t>
      </w:r>
      <w:r w:rsidR="00ED33FA">
        <w:rPr>
          <w:bCs/>
          <w:sz w:val="20"/>
        </w:rPr>
        <w:t>[26</w:t>
      </w:r>
      <w:r w:rsidR="008066FC">
        <w:rPr>
          <w:bCs/>
          <w:sz w:val="20"/>
        </w:rPr>
        <w:t>]</w:t>
      </w:r>
      <w:r w:rsidRPr="000262A7">
        <w:rPr>
          <w:bCs/>
          <w:sz w:val="20"/>
        </w:rPr>
        <w:t>,</w:t>
      </w:r>
      <w:r w:rsidR="008066FC">
        <w:rPr>
          <w:bCs/>
          <w:sz w:val="20"/>
        </w:rPr>
        <w:t xml:space="preserve"> [</w:t>
      </w:r>
      <w:r w:rsidR="00ED33FA">
        <w:rPr>
          <w:bCs/>
          <w:sz w:val="20"/>
        </w:rPr>
        <w:t>27</w:t>
      </w:r>
      <w:r w:rsidRPr="000262A7">
        <w:rPr>
          <w:bCs/>
          <w:sz w:val="20"/>
        </w:rPr>
        <w:t>]</w:t>
      </w:r>
      <w:r w:rsidRPr="000262A7">
        <w:rPr>
          <w:sz w:val="20"/>
        </w:rPr>
        <w:t>.</w:t>
      </w:r>
      <w:r w:rsidR="00C538BF">
        <w:rPr>
          <w:sz w:val="20"/>
        </w:rPr>
        <w:t>L</w:t>
      </w:r>
      <w:r w:rsidRPr="001F72D4">
        <w:rPr>
          <w:sz w:val="20"/>
        </w:rPr>
        <w:t>e méthanol était le solvant le plus efficace pour l’extraction des composés antioxyd</w:t>
      </w:r>
      <w:r w:rsidR="000262A7">
        <w:rPr>
          <w:sz w:val="20"/>
        </w:rPr>
        <w:t>ants notamment des polyphénols</w:t>
      </w:r>
      <w:r w:rsidRPr="001F72D4">
        <w:rPr>
          <w:sz w:val="20"/>
        </w:rPr>
        <w:t>. Cela peut être dû à la meilleure solvatation des antioxydants suite aux interactions (liaisons hydrogènes) entre les sites polaires des antioxydants et le méthanol. L’éthanol est moins efficace que le méthanol dans l’extraction des antioxydants bien que leurs polarités sont voisines. Ceci peut être dû à une solvatation plus faible probablement à cause du radical éthyle qui est plus long que le méthyl présent dans le méthanol.</w:t>
      </w:r>
      <w:r w:rsidR="000262A7">
        <w:rPr>
          <w:color w:val="000000" w:themeColor="text1"/>
          <w:sz w:val="20"/>
        </w:rPr>
        <w:t>L</w:t>
      </w:r>
      <w:r w:rsidRPr="001F72D4">
        <w:rPr>
          <w:color w:val="000000" w:themeColor="text1"/>
          <w:sz w:val="20"/>
        </w:rPr>
        <w:t>’acétate d’éthyle donne des teneurs en polyphénols et des AAcomparables à celles de l’éthanol et supérieures à celles de l’acétone, On déduit donc que les polyphénols de l’inule visqueuse sont très solubles dans l’acétate d’éthyle, ce qui confie à ses extraits une AA importante.</w:t>
      </w:r>
      <w:r w:rsidR="008066FC">
        <w:rPr>
          <w:color w:val="000000" w:themeColor="text1"/>
          <w:sz w:val="20"/>
        </w:rPr>
        <w:t xml:space="preserve">L’extrait acétonique enregistre </w:t>
      </w:r>
      <w:r w:rsidRPr="001F72D4">
        <w:rPr>
          <w:color w:val="000000" w:themeColor="text1"/>
          <w:sz w:val="20"/>
        </w:rPr>
        <w:t xml:space="preserve"> une AA</w:t>
      </w:r>
      <w:r w:rsidR="00643DFF">
        <w:rPr>
          <w:color w:val="000000" w:themeColor="text1"/>
          <w:sz w:val="20"/>
        </w:rPr>
        <w:t xml:space="preserve"> et une TPT relativement faible</w:t>
      </w:r>
      <w:r w:rsidRPr="001F72D4">
        <w:rPr>
          <w:color w:val="000000" w:themeColor="text1"/>
          <w:sz w:val="20"/>
        </w:rPr>
        <w:t xml:space="preserve"> ceci indique que le pouvoir solvant de l’acétone est moins efficace, cela peut être expliqué par le fait que l’acétone est un récepteur de protons tandis que les autres solvants sont aussi des donneurs.L’hexane, étant un solvant apolaire, il a extrait une faible quantité de polyphénols, </w:t>
      </w:r>
      <w:r w:rsidR="000262A7">
        <w:rPr>
          <w:color w:val="000000" w:themeColor="text1"/>
          <w:sz w:val="20"/>
        </w:rPr>
        <w:t>par conséquent, l’activité antira</w:t>
      </w:r>
      <w:r w:rsidRPr="001F72D4">
        <w:rPr>
          <w:color w:val="000000" w:themeColor="text1"/>
          <w:sz w:val="20"/>
        </w:rPr>
        <w:t xml:space="preserve">dicalaire de son extrait est la plus faible.Nous déduisons à partir de ces résultats que l’activité antioxydante corrèle positivement avec la teneur en polyphénols et même les </w:t>
      </w:r>
      <w:r w:rsidRPr="001F72D4">
        <w:rPr>
          <w:sz w:val="20"/>
        </w:rPr>
        <w:t>rendemen</w:t>
      </w:r>
      <w:r w:rsidR="00C538BF">
        <w:rPr>
          <w:sz w:val="20"/>
        </w:rPr>
        <w:t>ts</w:t>
      </w:r>
      <w:r w:rsidRPr="001F72D4">
        <w:rPr>
          <w:sz w:val="20"/>
        </w:rPr>
        <w:t>.</w:t>
      </w:r>
      <w:r w:rsidRPr="00770C12">
        <w:rPr>
          <w:color w:val="000000" w:themeColor="text1"/>
          <w:sz w:val="20"/>
        </w:rPr>
        <w:t>Les valeurs de IC</w:t>
      </w:r>
      <w:r w:rsidRPr="00770C12">
        <w:rPr>
          <w:color w:val="000000" w:themeColor="text1"/>
          <w:sz w:val="20"/>
          <w:vertAlign w:val="subscript"/>
        </w:rPr>
        <w:t>50</w:t>
      </w:r>
      <w:r w:rsidRPr="00770C12">
        <w:rPr>
          <w:color w:val="000000" w:themeColor="text1"/>
          <w:sz w:val="20"/>
        </w:rPr>
        <w:t xml:space="preserve"> trouvées sont comparables à ce</w:t>
      </w:r>
      <w:r w:rsidR="00770C12" w:rsidRPr="00770C12">
        <w:rPr>
          <w:color w:val="000000" w:themeColor="text1"/>
          <w:sz w:val="20"/>
        </w:rPr>
        <w:t>lle rapportées dans le tableau III</w:t>
      </w:r>
      <w:r w:rsidR="00643DFF">
        <w:rPr>
          <w:color w:val="000000" w:themeColor="text1"/>
          <w:sz w:val="20"/>
        </w:rPr>
        <w:t>. La TPT de l’</w:t>
      </w:r>
      <w:r w:rsidRPr="00770C12">
        <w:rPr>
          <w:color w:val="000000" w:themeColor="text1"/>
          <w:sz w:val="20"/>
        </w:rPr>
        <w:t xml:space="preserve">extrait méthanolique est supérieure à celle obtenue par </w:t>
      </w:r>
      <w:r w:rsidR="00770C12" w:rsidRPr="006F54BB">
        <w:rPr>
          <w:bCs/>
          <w:color w:val="000000" w:themeColor="text1"/>
          <w:sz w:val="20"/>
        </w:rPr>
        <w:t>[</w:t>
      </w:r>
      <w:r w:rsidR="006F54BB" w:rsidRPr="006F54BB">
        <w:rPr>
          <w:bCs/>
          <w:color w:val="000000" w:themeColor="text1"/>
          <w:sz w:val="20"/>
        </w:rPr>
        <w:t>22</w:t>
      </w:r>
      <w:r w:rsidRPr="006F54BB">
        <w:rPr>
          <w:bCs/>
          <w:color w:val="000000" w:themeColor="text1"/>
          <w:sz w:val="20"/>
        </w:rPr>
        <w:t>]</w:t>
      </w:r>
      <w:r w:rsidR="00770C12" w:rsidRPr="00770C12">
        <w:rPr>
          <w:color w:val="000000" w:themeColor="text1"/>
          <w:sz w:val="20"/>
        </w:rPr>
        <w:t xml:space="preserve"> et la TPT</w:t>
      </w:r>
      <w:r w:rsidR="00ED33FA">
        <w:rPr>
          <w:color w:val="000000" w:themeColor="text1"/>
          <w:sz w:val="20"/>
        </w:rPr>
        <w:t xml:space="preserve"> de</w:t>
      </w:r>
      <w:r w:rsidR="00770C12" w:rsidRPr="00770C12">
        <w:rPr>
          <w:color w:val="000000" w:themeColor="text1"/>
          <w:sz w:val="20"/>
        </w:rPr>
        <w:t xml:space="preserve"> l’</w:t>
      </w:r>
      <w:r w:rsidRPr="00770C12">
        <w:rPr>
          <w:color w:val="000000" w:themeColor="text1"/>
          <w:sz w:val="20"/>
        </w:rPr>
        <w:t>extrait avec l’acétate est i</w:t>
      </w:r>
      <w:r w:rsidR="00ED33FA">
        <w:rPr>
          <w:color w:val="000000" w:themeColor="text1"/>
          <w:sz w:val="20"/>
        </w:rPr>
        <w:t>nférieure à celle rapportée par</w:t>
      </w:r>
      <w:r w:rsidR="00770C12" w:rsidRPr="006F54BB">
        <w:rPr>
          <w:bCs/>
          <w:color w:val="000000" w:themeColor="text1"/>
          <w:sz w:val="20"/>
          <w:lang w:val="fr-FR"/>
        </w:rPr>
        <w:t>[</w:t>
      </w:r>
      <w:r w:rsidR="006F54BB" w:rsidRPr="006F54BB">
        <w:rPr>
          <w:bCs/>
          <w:color w:val="000000" w:themeColor="text1"/>
          <w:sz w:val="20"/>
          <w:lang w:val="fr-FR"/>
        </w:rPr>
        <w:t>23</w:t>
      </w:r>
      <w:r w:rsidRPr="006F54BB">
        <w:rPr>
          <w:bCs/>
          <w:color w:val="000000" w:themeColor="text1"/>
          <w:sz w:val="20"/>
          <w:lang w:val="fr-FR"/>
        </w:rPr>
        <w:t>].</w:t>
      </w:r>
      <w:bookmarkStart w:id="11" w:name="_Toc421486957"/>
    </w:p>
    <w:p w:rsidR="00643DFF" w:rsidRDefault="00643DFF" w:rsidP="00405473">
      <w:pPr>
        <w:pStyle w:val="Para"/>
        <w:tabs>
          <w:tab w:val="left" w:pos="1159"/>
        </w:tabs>
        <w:spacing w:line="240" w:lineRule="auto"/>
        <w:contextualSpacing/>
        <w:jc w:val="center"/>
        <w:rPr>
          <w:bCs/>
          <w:caps/>
          <w:color w:val="000000" w:themeColor="text1"/>
          <w:sz w:val="16"/>
          <w:szCs w:val="16"/>
        </w:rPr>
      </w:pPr>
    </w:p>
    <w:p w:rsidR="00FD4F85" w:rsidRDefault="004611DC" w:rsidP="00405473">
      <w:pPr>
        <w:pStyle w:val="Para"/>
        <w:tabs>
          <w:tab w:val="left" w:pos="1159"/>
        </w:tabs>
        <w:spacing w:line="240" w:lineRule="auto"/>
        <w:contextualSpacing/>
        <w:jc w:val="center"/>
        <w:rPr>
          <w:bCs/>
          <w:caps/>
          <w:color w:val="000000" w:themeColor="text1"/>
          <w:sz w:val="16"/>
          <w:szCs w:val="16"/>
        </w:rPr>
      </w:pPr>
      <w:bookmarkStart w:id="12" w:name="_GoBack"/>
      <w:bookmarkEnd w:id="12"/>
      <w:r w:rsidRPr="00405473">
        <w:rPr>
          <w:bCs/>
          <w:caps/>
          <w:color w:val="000000" w:themeColor="text1"/>
          <w:sz w:val="16"/>
          <w:szCs w:val="16"/>
        </w:rPr>
        <w:t xml:space="preserve">Tableau </w:t>
      </w:r>
      <w:r w:rsidR="00FD4F85">
        <w:rPr>
          <w:bCs/>
          <w:caps/>
          <w:color w:val="000000" w:themeColor="text1"/>
          <w:sz w:val="16"/>
          <w:szCs w:val="16"/>
        </w:rPr>
        <w:t>III</w:t>
      </w:r>
    </w:p>
    <w:p w:rsidR="004611DC" w:rsidRPr="00405473" w:rsidRDefault="004611DC" w:rsidP="00405473">
      <w:pPr>
        <w:pStyle w:val="Para"/>
        <w:tabs>
          <w:tab w:val="left" w:pos="1159"/>
        </w:tabs>
        <w:spacing w:line="240" w:lineRule="auto"/>
        <w:contextualSpacing/>
        <w:jc w:val="center"/>
        <w:rPr>
          <w:b/>
          <w:bCs/>
          <w:caps/>
          <w:color w:val="000000" w:themeColor="text1"/>
          <w:sz w:val="16"/>
          <w:szCs w:val="16"/>
        </w:rPr>
      </w:pPr>
      <w:r w:rsidRPr="00405473">
        <w:rPr>
          <w:caps/>
          <w:color w:val="000000" w:themeColor="text1"/>
          <w:sz w:val="16"/>
          <w:szCs w:val="16"/>
        </w:rPr>
        <w:t>Valeurs de IC</w:t>
      </w:r>
      <w:r w:rsidRPr="00405473">
        <w:rPr>
          <w:caps/>
          <w:color w:val="000000" w:themeColor="text1"/>
          <w:sz w:val="16"/>
          <w:szCs w:val="16"/>
          <w:vertAlign w:val="subscript"/>
        </w:rPr>
        <w:t>50</w:t>
      </w:r>
      <w:r w:rsidRPr="00405473">
        <w:rPr>
          <w:caps/>
          <w:color w:val="000000" w:themeColor="text1"/>
          <w:sz w:val="16"/>
          <w:szCs w:val="16"/>
        </w:rPr>
        <w:t xml:space="preserve"> et de TPT trouvées par les travaux antérieurs</w:t>
      </w:r>
      <w:bookmarkEnd w:id="11"/>
    </w:p>
    <w:tbl>
      <w:tblPr>
        <w:tblStyle w:val="Grilledutableau"/>
        <w:tblW w:w="4961" w:type="dxa"/>
        <w:tblInd w:w="250" w:type="dxa"/>
        <w:tblLayout w:type="fixed"/>
        <w:tblLook w:val="04A0"/>
      </w:tblPr>
      <w:tblGrid>
        <w:gridCol w:w="1843"/>
        <w:gridCol w:w="850"/>
        <w:gridCol w:w="1134"/>
        <w:gridCol w:w="1134"/>
      </w:tblGrid>
      <w:tr w:rsidR="007632E6" w:rsidRPr="004F2525" w:rsidTr="007632E6">
        <w:trPr>
          <w:trHeight w:val="20"/>
        </w:trPr>
        <w:tc>
          <w:tcPr>
            <w:tcW w:w="1843" w:type="dxa"/>
            <w:vAlign w:val="center"/>
          </w:tcPr>
          <w:p w:rsidR="007632E6" w:rsidRPr="004F2525" w:rsidRDefault="007632E6" w:rsidP="005A18DA">
            <w:pPr>
              <w:pStyle w:val="Para"/>
              <w:tabs>
                <w:tab w:val="left" w:pos="1159"/>
              </w:tabs>
              <w:spacing w:line="240" w:lineRule="auto"/>
              <w:contextualSpacing/>
              <w:jc w:val="center"/>
              <w:rPr>
                <w:b/>
                <w:bCs/>
                <w:sz w:val="18"/>
                <w:szCs w:val="18"/>
              </w:rPr>
            </w:pPr>
            <w:r w:rsidRPr="004F2525">
              <w:rPr>
                <w:b/>
                <w:bCs/>
                <w:sz w:val="18"/>
                <w:szCs w:val="18"/>
              </w:rPr>
              <w:t>Solvant</w:t>
            </w:r>
          </w:p>
        </w:tc>
        <w:tc>
          <w:tcPr>
            <w:tcW w:w="850" w:type="dxa"/>
            <w:vAlign w:val="center"/>
          </w:tcPr>
          <w:p w:rsidR="007632E6" w:rsidRPr="004F2525" w:rsidRDefault="007632E6" w:rsidP="002803D0">
            <w:pPr>
              <w:pStyle w:val="Para"/>
              <w:tabs>
                <w:tab w:val="left" w:pos="1159"/>
              </w:tabs>
              <w:spacing w:line="240" w:lineRule="auto"/>
              <w:contextualSpacing/>
              <w:jc w:val="center"/>
              <w:rPr>
                <w:b/>
                <w:bCs/>
                <w:sz w:val="18"/>
                <w:szCs w:val="18"/>
              </w:rPr>
            </w:pPr>
            <w:r w:rsidRPr="004F2525">
              <w:rPr>
                <w:b/>
                <w:bCs/>
                <w:sz w:val="18"/>
                <w:szCs w:val="18"/>
              </w:rPr>
              <w:t>IC50 ()</w:t>
            </w:r>
          </w:p>
        </w:tc>
        <w:tc>
          <w:tcPr>
            <w:tcW w:w="1134" w:type="dxa"/>
            <w:vAlign w:val="center"/>
          </w:tcPr>
          <w:p w:rsidR="007632E6" w:rsidRPr="004F2525" w:rsidRDefault="007632E6" w:rsidP="005A18DA">
            <w:pPr>
              <w:pStyle w:val="Para"/>
              <w:tabs>
                <w:tab w:val="left" w:pos="1159"/>
              </w:tabs>
              <w:spacing w:line="240" w:lineRule="auto"/>
              <w:contextualSpacing/>
              <w:jc w:val="center"/>
              <w:rPr>
                <w:b/>
                <w:bCs/>
                <w:sz w:val="18"/>
                <w:szCs w:val="18"/>
              </w:rPr>
            </w:pPr>
            <w:r w:rsidRPr="004F2525">
              <w:rPr>
                <w:b/>
                <w:bCs/>
                <w:sz w:val="18"/>
                <w:szCs w:val="18"/>
              </w:rPr>
              <w:t>TPT (mg EAG/ gMS)</w:t>
            </w:r>
          </w:p>
        </w:tc>
        <w:tc>
          <w:tcPr>
            <w:tcW w:w="1134" w:type="dxa"/>
            <w:vAlign w:val="center"/>
          </w:tcPr>
          <w:p w:rsidR="007632E6" w:rsidRPr="004F2525" w:rsidRDefault="007632E6" w:rsidP="005A18DA">
            <w:pPr>
              <w:pStyle w:val="Para"/>
              <w:tabs>
                <w:tab w:val="left" w:pos="1159"/>
              </w:tabs>
              <w:spacing w:line="240" w:lineRule="auto"/>
              <w:contextualSpacing/>
              <w:jc w:val="center"/>
              <w:rPr>
                <w:b/>
                <w:bCs/>
                <w:sz w:val="18"/>
                <w:szCs w:val="18"/>
              </w:rPr>
            </w:pPr>
            <w:r w:rsidRPr="004F2525">
              <w:rPr>
                <w:b/>
                <w:bCs/>
                <w:sz w:val="18"/>
                <w:szCs w:val="18"/>
              </w:rPr>
              <w:t>référence</w:t>
            </w:r>
          </w:p>
        </w:tc>
      </w:tr>
      <w:tr w:rsidR="007632E6" w:rsidRPr="004F2525" w:rsidTr="007632E6">
        <w:trPr>
          <w:trHeight w:val="20"/>
        </w:trPr>
        <w:tc>
          <w:tcPr>
            <w:tcW w:w="1843"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Méthanol</w:t>
            </w:r>
          </w:p>
        </w:tc>
        <w:tc>
          <w:tcPr>
            <w:tcW w:w="850"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4,27</w:t>
            </w:r>
          </w:p>
        </w:tc>
        <w:tc>
          <w:tcPr>
            <w:tcW w:w="1134"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62,61</w:t>
            </w:r>
          </w:p>
        </w:tc>
        <w:tc>
          <w:tcPr>
            <w:tcW w:w="1134" w:type="dxa"/>
            <w:vAlign w:val="center"/>
          </w:tcPr>
          <w:p w:rsidR="007632E6" w:rsidRPr="006F54BB" w:rsidRDefault="007632E6" w:rsidP="005A18DA">
            <w:pPr>
              <w:pStyle w:val="Para"/>
              <w:tabs>
                <w:tab w:val="left" w:pos="1159"/>
              </w:tabs>
              <w:spacing w:line="240" w:lineRule="auto"/>
              <w:contextualSpacing/>
              <w:jc w:val="center"/>
              <w:rPr>
                <w:bCs/>
                <w:sz w:val="18"/>
                <w:szCs w:val="18"/>
              </w:rPr>
            </w:pPr>
            <w:r w:rsidRPr="006F54BB">
              <w:rPr>
                <w:bCs/>
                <w:sz w:val="18"/>
                <w:szCs w:val="18"/>
              </w:rPr>
              <w:t>[22]</w:t>
            </w:r>
          </w:p>
        </w:tc>
      </w:tr>
      <w:tr w:rsidR="007632E6" w:rsidRPr="004F2525" w:rsidTr="007632E6">
        <w:trPr>
          <w:trHeight w:val="20"/>
        </w:trPr>
        <w:tc>
          <w:tcPr>
            <w:tcW w:w="1843"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Éthanol</w:t>
            </w:r>
          </w:p>
        </w:tc>
        <w:tc>
          <w:tcPr>
            <w:tcW w:w="850"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18</w:t>
            </w:r>
          </w:p>
        </w:tc>
        <w:tc>
          <w:tcPr>
            <w:tcW w:w="1134" w:type="dxa"/>
            <w:vAlign w:val="center"/>
          </w:tcPr>
          <w:p w:rsidR="007632E6" w:rsidRPr="004F2525" w:rsidRDefault="007632E6" w:rsidP="005A18DA">
            <w:pPr>
              <w:pStyle w:val="Para"/>
              <w:tabs>
                <w:tab w:val="left" w:pos="1159"/>
              </w:tabs>
              <w:spacing w:line="240" w:lineRule="auto"/>
              <w:contextualSpacing/>
              <w:jc w:val="center"/>
              <w:rPr>
                <w:b/>
                <w:bCs/>
                <w:sz w:val="18"/>
                <w:szCs w:val="18"/>
              </w:rPr>
            </w:pPr>
            <w:r w:rsidRPr="004F2525">
              <w:rPr>
                <w:color w:val="231916"/>
                <w:sz w:val="18"/>
                <w:szCs w:val="18"/>
              </w:rPr>
              <w:t>84.85±1.38</w:t>
            </w:r>
          </w:p>
        </w:tc>
        <w:tc>
          <w:tcPr>
            <w:tcW w:w="1134" w:type="dxa"/>
            <w:vMerge w:val="restart"/>
            <w:vAlign w:val="center"/>
          </w:tcPr>
          <w:p w:rsidR="007632E6" w:rsidRPr="006F54BB" w:rsidRDefault="007632E6" w:rsidP="005A18DA">
            <w:pPr>
              <w:pStyle w:val="Para"/>
              <w:tabs>
                <w:tab w:val="left" w:pos="1159"/>
              </w:tabs>
              <w:spacing w:line="240" w:lineRule="auto"/>
              <w:contextualSpacing/>
              <w:jc w:val="center"/>
              <w:rPr>
                <w:bCs/>
                <w:sz w:val="18"/>
                <w:szCs w:val="18"/>
              </w:rPr>
            </w:pPr>
            <w:r w:rsidRPr="006F54BB">
              <w:rPr>
                <w:bCs/>
                <w:sz w:val="18"/>
                <w:szCs w:val="18"/>
                <w:lang w:val="en-US"/>
              </w:rPr>
              <w:t>[23]</w:t>
            </w:r>
          </w:p>
        </w:tc>
      </w:tr>
      <w:tr w:rsidR="007632E6" w:rsidRPr="004F2525" w:rsidTr="007632E6">
        <w:trPr>
          <w:trHeight w:val="20"/>
        </w:trPr>
        <w:tc>
          <w:tcPr>
            <w:tcW w:w="1843"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Acétate d’éthyle</w:t>
            </w:r>
          </w:p>
        </w:tc>
        <w:tc>
          <w:tcPr>
            <w:tcW w:w="850" w:type="dxa"/>
            <w:vAlign w:val="center"/>
          </w:tcPr>
          <w:p w:rsidR="007632E6" w:rsidRPr="004F2525" w:rsidRDefault="007632E6" w:rsidP="005A18DA">
            <w:pPr>
              <w:pStyle w:val="Para"/>
              <w:tabs>
                <w:tab w:val="left" w:pos="1159"/>
              </w:tabs>
              <w:spacing w:line="240" w:lineRule="auto"/>
              <w:contextualSpacing/>
              <w:jc w:val="center"/>
              <w:rPr>
                <w:sz w:val="18"/>
                <w:szCs w:val="18"/>
              </w:rPr>
            </w:pPr>
            <w:r w:rsidRPr="004F2525">
              <w:rPr>
                <w:sz w:val="18"/>
                <w:szCs w:val="18"/>
              </w:rPr>
              <w:t>28</w:t>
            </w:r>
          </w:p>
        </w:tc>
        <w:tc>
          <w:tcPr>
            <w:tcW w:w="1134" w:type="dxa"/>
            <w:vAlign w:val="center"/>
          </w:tcPr>
          <w:p w:rsidR="007632E6" w:rsidRPr="004F2525" w:rsidRDefault="007632E6" w:rsidP="005A18DA">
            <w:pPr>
              <w:pStyle w:val="Para"/>
              <w:tabs>
                <w:tab w:val="left" w:pos="1159"/>
              </w:tabs>
              <w:spacing w:line="240" w:lineRule="auto"/>
              <w:contextualSpacing/>
              <w:jc w:val="center"/>
              <w:rPr>
                <w:b/>
                <w:bCs/>
                <w:sz w:val="18"/>
                <w:szCs w:val="18"/>
              </w:rPr>
            </w:pPr>
            <w:r w:rsidRPr="004F2525">
              <w:rPr>
                <w:color w:val="231916"/>
                <w:sz w:val="18"/>
                <w:szCs w:val="18"/>
              </w:rPr>
              <w:t>103.71±2.78</w:t>
            </w:r>
          </w:p>
        </w:tc>
        <w:tc>
          <w:tcPr>
            <w:tcW w:w="1134" w:type="dxa"/>
            <w:vMerge/>
            <w:vAlign w:val="center"/>
          </w:tcPr>
          <w:p w:rsidR="007632E6" w:rsidRPr="004F2525" w:rsidRDefault="007632E6" w:rsidP="005A18DA">
            <w:pPr>
              <w:pStyle w:val="Para"/>
              <w:tabs>
                <w:tab w:val="left" w:pos="1159"/>
              </w:tabs>
              <w:spacing w:line="240" w:lineRule="auto"/>
              <w:contextualSpacing/>
              <w:jc w:val="center"/>
              <w:rPr>
                <w:b/>
                <w:bCs/>
                <w:sz w:val="18"/>
                <w:szCs w:val="18"/>
              </w:rPr>
            </w:pPr>
          </w:p>
        </w:tc>
      </w:tr>
    </w:tbl>
    <w:p w:rsidR="00E442E3" w:rsidRDefault="00E442E3" w:rsidP="00E442E3">
      <w:pPr>
        <w:pStyle w:val="Para"/>
        <w:spacing w:before="180" w:after="60" w:line="240" w:lineRule="auto"/>
        <w:contextualSpacing/>
        <w:jc w:val="center"/>
        <w:rPr>
          <w:caps/>
          <w:sz w:val="20"/>
        </w:rPr>
      </w:pPr>
      <w:r>
        <w:rPr>
          <w:caps/>
          <w:sz w:val="20"/>
        </w:rPr>
        <w:lastRenderedPageBreak/>
        <w:t>CONCLUSION</w:t>
      </w:r>
    </w:p>
    <w:p w:rsidR="00E442E3" w:rsidRPr="00E442E3" w:rsidRDefault="00E442E3" w:rsidP="00E442E3">
      <w:pPr>
        <w:pStyle w:val="Para"/>
        <w:spacing w:before="180" w:after="60" w:line="240" w:lineRule="auto"/>
        <w:contextualSpacing/>
        <w:rPr>
          <w:sz w:val="20"/>
        </w:rPr>
      </w:pPr>
      <w:r>
        <w:rPr>
          <w:caps/>
          <w:sz w:val="20"/>
        </w:rPr>
        <w:t>L</w:t>
      </w:r>
      <w:r>
        <w:rPr>
          <w:sz w:val="20"/>
        </w:rPr>
        <w:t xml:space="preserve">es huiles essentielles récupérées obtenues </w:t>
      </w:r>
      <w:r w:rsidR="002803D0">
        <w:rPr>
          <w:sz w:val="20"/>
        </w:rPr>
        <w:t xml:space="preserve">par EVE ou HD </w:t>
      </w:r>
      <w:r>
        <w:rPr>
          <w:sz w:val="20"/>
        </w:rPr>
        <w:t>ont montré une activité antioxyda</w:t>
      </w:r>
      <w:r w:rsidR="002803D0">
        <w:rPr>
          <w:sz w:val="20"/>
        </w:rPr>
        <w:t>n</w:t>
      </w:r>
      <w:r>
        <w:rPr>
          <w:sz w:val="20"/>
        </w:rPr>
        <w:t>te</w:t>
      </w:r>
      <w:r w:rsidR="002803D0">
        <w:rPr>
          <w:sz w:val="20"/>
        </w:rPr>
        <w:t xml:space="preserve"> moyenne moyennes comparée aux autres plantes des astéracées par contre celle récupérée par Hdiff., elle a une AA plus élevéepouvantatteindreun taux d’inhibition de 90% pourune concentration de 260</w:t>
      </w:r>
      <w:r w:rsidR="002803D0" w:rsidRPr="002803D0">
        <w:rPr>
          <w:bCs/>
          <w:sz w:val="20"/>
        </w:rPr>
        <w:t>µg/mL</w:t>
      </w:r>
      <w:r w:rsidR="002803D0">
        <w:rPr>
          <w:sz w:val="20"/>
        </w:rPr>
        <w:t xml:space="preserve">. Les hydrolat des trois procédéssont riches en polyphénols, leur AA est fonction de la teneur en polyphénols. Les extraits récupérées par les solvants volatils polaires présentent également une bonne AA celle-ci varie linéairement avec la TPT. Le meilleur solvant est le méthanol. Les meilleurs résultats ont été obtenus avec les hydrolats. </w:t>
      </w:r>
    </w:p>
    <w:p w:rsidR="00722101" w:rsidRDefault="00722101" w:rsidP="00E00C18">
      <w:pPr>
        <w:pStyle w:val="Para"/>
        <w:spacing w:before="180" w:after="60" w:line="240" w:lineRule="auto"/>
        <w:contextualSpacing/>
        <w:jc w:val="center"/>
        <w:rPr>
          <w:caps/>
          <w:sz w:val="20"/>
        </w:rPr>
      </w:pPr>
      <w:r w:rsidRPr="00722101">
        <w:rPr>
          <w:caps/>
          <w:sz w:val="20"/>
        </w:rPr>
        <w:t>REFERENCES</w:t>
      </w:r>
    </w:p>
    <w:p w:rsidR="007632E6" w:rsidRDefault="007632E6" w:rsidP="007632E6">
      <w:pPr>
        <w:pStyle w:val="IEEEReferenceItem"/>
        <w:numPr>
          <w:ilvl w:val="0"/>
          <w:numId w:val="0"/>
        </w:numPr>
        <w:ind w:left="432" w:hanging="432"/>
      </w:pPr>
      <w:r>
        <w:t xml:space="preserve">[1]      </w:t>
      </w:r>
      <w:r w:rsidR="000D40F9" w:rsidRPr="009407F6">
        <w:rPr>
          <w:szCs w:val="16"/>
        </w:rPr>
        <w:t>M.L.A</w:t>
      </w:r>
      <w:r w:rsidR="00D66C7F" w:rsidRPr="00D66C7F">
        <w:rPr>
          <w:szCs w:val="16"/>
        </w:rPr>
        <w:t>Seca</w:t>
      </w:r>
      <w:r w:rsidR="00722101" w:rsidRPr="009407F6">
        <w:rPr>
          <w:szCs w:val="16"/>
        </w:rPr>
        <w:t xml:space="preserve">, </w:t>
      </w:r>
      <w:r w:rsidR="000D40F9" w:rsidRPr="009407F6">
        <w:rPr>
          <w:szCs w:val="16"/>
        </w:rPr>
        <w:t>A.</w:t>
      </w:r>
      <w:r w:rsidR="00722101" w:rsidRPr="009407F6">
        <w:rPr>
          <w:szCs w:val="16"/>
        </w:rPr>
        <w:t>G</w:t>
      </w:r>
      <w:r w:rsidR="00D66C7F" w:rsidRPr="00D66C7F">
        <w:rPr>
          <w:szCs w:val="16"/>
        </w:rPr>
        <w:t>rigore</w:t>
      </w:r>
      <w:r w:rsidR="00722101" w:rsidRPr="009407F6">
        <w:rPr>
          <w:szCs w:val="16"/>
        </w:rPr>
        <w:t>,</w:t>
      </w:r>
      <w:r w:rsidR="000D40F9" w:rsidRPr="009407F6">
        <w:rPr>
          <w:szCs w:val="16"/>
        </w:rPr>
        <w:t>D.C.G.A</w:t>
      </w:r>
      <w:r w:rsidR="000D40F9" w:rsidRPr="00D66C7F">
        <w:rPr>
          <w:szCs w:val="16"/>
        </w:rPr>
        <w:t>.</w:t>
      </w:r>
      <w:r w:rsidR="00722101" w:rsidRPr="009407F6">
        <w:rPr>
          <w:szCs w:val="16"/>
        </w:rPr>
        <w:t xml:space="preserve"> P</w:t>
      </w:r>
      <w:r w:rsidR="00D66C7F" w:rsidRPr="00D66C7F">
        <w:rPr>
          <w:szCs w:val="16"/>
        </w:rPr>
        <w:t>into</w:t>
      </w:r>
      <w:r w:rsidR="00722101" w:rsidRPr="009407F6">
        <w:rPr>
          <w:szCs w:val="16"/>
        </w:rPr>
        <w:t>,</w:t>
      </w:r>
      <w:r w:rsidR="000D40F9" w:rsidRPr="009407F6">
        <w:rPr>
          <w:szCs w:val="16"/>
        </w:rPr>
        <w:t>A.M.S</w:t>
      </w:r>
      <w:r w:rsidR="000D40F9" w:rsidRPr="00D66C7F">
        <w:rPr>
          <w:szCs w:val="16"/>
        </w:rPr>
        <w:t>.</w:t>
      </w:r>
      <w:r w:rsidR="00722101" w:rsidRPr="009407F6">
        <w:rPr>
          <w:szCs w:val="16"/>
        </w:rPr>
        <w:t xml:space="preserve"> S</w:t>
      </w:r>
      <w:r w:rsidR="00D66C7F" w:rsidRPr="00D66C7F">
        <w:rPr>
          <w:szCs w:val="16"/>
        </w:rPr>
        <w:t>ilva</w:t>
      </w:r>
      <w:r w:rsidR="00722101" w:rsidRPr="009407F6">
        <w:rPr>
          <w:szCs w:val="16"/>
        </w:rPr>
        <w:t xml:space="preserve">, </w:t>
      </w:r>
      <w:r w:rsidR="00BC6E73">
        <w:rPr>
          <w:szCs w:val="16"/>
        </w:rPr>
        <w:t>“</w:t>
      </w:r>
      <w:r w:rsidR="00D66C7F" w:rsidRPr="00D66C7F">
        <w:rPr>
          <w:szCs w:val="16"/>
        </w:rPr>
        <w:t> </w:t>
      </w:r>
      <w:r w:rsidR="00722101" w:rsidRPr="00D66C7F">
        <w:rPr>
          <w:szCs w:val="16"/>
        </w:rPr>
        <w:t>The genus Inula and their metabolites: From ethnopharmacological to medicinal uses.</w:t>
      </w:r>
      <w:r w:rsidR="00D66C7F" w:rsidRPr="00D66C7F">
        <w:rPr>
          <w:szCs w:val="16"/>
        </w:rPr>
        <w:t>”</w:t>
      </w:r>
      <w:r w:rsidR="00722101" w:rsidRPr="009407F6">
        <w:rPr>
          <w:i/>
          <w:iCs/>
          <w:szCs w:val="16"/>
        </w:rPr>
        <w:t>Journal of Ethnopharmacology</w:t>
      </w:r>
      <w:r w:rsidR="00722101" w:rsidRPr="009407F6">
        <w:rPr>
          <w:szCs w:val="16"/>
        </w:rPr>
        <w:t xml:space="preserve">. </w:t>
      </w:r>
      <w:r w:rsidR="00770C12">
        <w:rPr>
          <w:szCs w:val="16"/>
          <w:lang w:val="fr-FR"/>
        </w:rPr>
        <w:t>Vol.</w:t>
      </w:r>
      <w:r w:rsidR="00722101" w:rsidRPr="00D66C7F">
        <w:rPr>
          <w:bCs/>
          <w:szCs w:val="16"/>
          <w:lang w:val="fr-FR"/>
        </w:rPr>
        <w:t>154</w:t>
      </w:r>
      <w:r w:rsidR="00D66C7F" w:rsidRPr="00D66C7F">
        <w:rPr>
          <w:bCs/>
          <w:szCs w:val="16"/>
        </w:rPr>
        <w:t>,</w:t>
      </w:r>
      <w:r w:rsidR="00D66C7F" w:rsidRPr="00D66C7F">
        <w:rPr>
          <w:szCs w:val="16"/>
        </w:rPr>
        <w:t>pp.</w:t>
      </w:r>
      <w:r w:rsidR="00722101" w:rsidRPr="00D66C7F">
        <w:rPr>
          <w:szCs w:val="16"/>
          <w:lang w:val="fr-FR"/>
        </w:rPr>
        <w:t>286–310</w:t>
      </w:r>
      <w:r w:rsidR="00D66C7F" w:rsidRPr="00D66C7F">
        <w:rPr>
          <w:szCs w:val="16"/>
        </w:rPr>
        <w:t xml:space="preserve">, </w:t>
      </w:r>
      <w:r w:rsidR="00D66C7F" w:rsidRPr="00D66C7F">
        <w:rPr>
          <w:szCs w:val="16"/>
          <w:lang w:val="fr-FR"/>
        </w:rPr>
        <w:t>2014</w:t>
      </w:r>
      <w:r w:rsidR="00722101" w:rsidRPr="00D66C7F">
        <w:rPr>
          <w:szCs w:val="16"/>
          <w:lang w:val="fr-FR"/>
        </w:rPr>
        <w:t>.</w:t>
      </w:r>
    </w:p>
    <w:p w:rsidR="007632E6" w:rsidRDefault="007632E6" w:rsidP="007632E6">
      <w:pPr>
        <w:pStyle w:val="IEEEReferenceItem"/>
        <w:numPr>
          <w:ilvl w:val="0"/>
          <w:numId w:val="0"/>
        </w:numPr>
        <w:ind w:left="432" w:hanging="432"/>
      </w:pPr>
      <w:r>
        <w:t xml:space="preserve">[2]   </w:t>
      </w:r>
      <w:r w:rsidR="00D66C7F" w:rsidRPr="00D66C7F">
        <w:rPr>
          <w:szCs w:val="16"/>
        </w:rPr>
        <w:t>P.</w:t>
      </w:r>
      <w:r w:rsidR="00722101" w:rsidRPr="00D66C7F">
        <w:rPr>
          <w:szCs w:val="16"/>
        </w:rPr>
        <w:t>P</w:t>
      </w:r>
      <w:r w:rsidR="00BC6E73">
        <w:rPr>
          <w:szCs w:val="16"/>
        </w:rPr>
        <w:t>arolin</w:t>
      </w:r>
      <w:r w:rsidR="00D66C7F">
        <w:rPr>
          <w:szCs w:val="16"/>
        </w:rPr>
        <w:t>, M. I</w:t>
      </w:r>
      <w:r w:rsidR="00BC6E73">
        <w:rPr>
          <w:szCs w:val="16"/>
        </w:rPr>
        <w:t>on</w:t>
      </w:r>
      <w:r w:rsidR="00D66C7F">
        <w:rPr>
          <w:szCs w:val="16"/>
        </w:rPr>
        <w:t>S</w:t>
      </w:r>
      <w:r w:rsidR="00BC6E73">
        <w:rPr>
          <w:szCs w:val="16"/>
        </w:rPr>
        <w:t>cotta</w:t>
      </w:r>
      <w:r w:rsidR="00D66C7F">
        <w:rPr>
          <w:szCs w:val="16"/>
        </w:rPr>
        <w:t>, C. B</w:t>
      </w:r>
      <w:r w:rsidR="00BC6E73">
        <w:rPr>
          <w:szCs w:val="16"/>
        </w:rPr>
        <w:t>resch</w:t>
      </w:r>
      <w:r w:rsidR="00D66C7F">
        <w:rPr>
          <w:szCs w:val="16"/>
        </w:rPr>
        <w:t xml:space="preserve">, </w:t>
      </w:r>
      <w:r w:rsidR="00BC6E73">
        <w:rPr>
          <w:szCs w:val="16"/>
        </w:rPr>
        <w:t>“</w:t>
      </w:r>
      <w:r w:rsidR="00722101" w:rsidRPr="00D66C7F">
        <w:rPr>
          <w:szCs w:val="16"/>
        </w:rPr>
        <w:t xml:space="preserve">Biology of </w:t>
      </w:r>
      <w:r w:rsidR="00722101" w:rsidRPr="00D66C7F">
        <w:rPr>
          <w:i/>
          <w:szCs w:val="16"/>
        </w:rPr>
        <w:t>Dittrichiaviscosa</w:t>
      </w:r>
      <w:r w:rsidR="00722101" w:rsidRPr="00D66C7F">
        <w:rPr>
          <w:szCs w:val="16"/>
        </w:rPr>
        <w:t>, a Mediterranean ruderalplant : a review</w:t>
      </w:r>
      <w:r w:rsidR="00BC6E73">
        <w:rPr>
          <w:szCs w:val="16"/>
        </w:rPr>
        <w:t>”</w:t>
      </w:r>
      <w:r w:rsidR="00722101" w:rsidRPr="00D66C7F">
        <w:rPr>
          <w:szCs w:val="16"/>
        </w:rPr>
        <w:t xml:space="preserve">. </w:t>
      </w:r>
      <w:r w:rsidR="00722101" w:rsidRPr="00D66C7F">
        <w:rPr>
          <w:i/>
          <w:iCs/>
          <w:szCs w:val="16"/>
        </w:rPr>
        <w:t>FYTON</w:t>
      </w:r>
      <w:r w:rsidR="00722101" w:rsidRPr="00D66C7F">
        <w:rPr>
          <w:szCs w:val="16"/>
        </w:rPr>
        <w:t>.</w:t>
      </w:r>
      <w:r w:rsidR="00770C12">
        <w:rPr>
          <w:szCs w:val="16"/>
        </w:rPr>
        <w:t>Vol.</w:t>
      </w:r>
      <w:r w:rsidR="00722101" w:rsidRPr="00D66C7F">
        <w:rPr>
          <w:bCs/>
          <w:szCs w:val="16"/>
        </w:rPr>
        <w:t>83</w:t>
      </w:r>
      <w:r w:rsidR="00BC6E73">
        <w:rPr>
          <w:bCs/>
          <w:szCs w:val="16"/>
        </w:rPr>
        <w:t>, pp.</w:t>
      </w:r>
      <w:r w:rsidR="00722101" w:rsidRPr="00D66C7F">
        <w:rPr>
          <w:szCs w:val="16"/>
        </w:rPr>
        <w:t xml:space="preserve"> 251-262</w:t>
      </w:r>
      <w:r w:rsidR="00D66C7F">
        <w:rPr>
          <w:szCs w:val="16"/>
        </w:rPr>
        <w:t xml:space="preserve">, </w:t>
      </w:r>
      <w:r w:rsidR="00D66C7F" w:rsidRPr="00D66C7F">
        <w:rPr>
          <w:szCs w:val="16"/>
        </w:rPr>
        <w:t>2014.</w:t>
      </w:r>
    </w:p>
    <w:p w:rsidR="00D66C7F" w:rsidRPr="00D66C7F" w:rsidRDefault="007632E6" w:rsidP="007632E6">
      <w:pPr>
        <w:pStyle w:val="IEEEReferenceItem"/>
        <w:numPr>
          <w:ilvl w:val="0"/>
          <w:numId w:val="0"/>
        </w:numPr>
        <w:ind w:left="432" w:hanging="432"/>
      </w:pPr>
      <w:r>
        <w:t xml:space="preserve">[3]  </w:t>
      </w:r>
      <w:r w:rsidR="00BC6E73" w:rsidRPr="00D66C7F">
        <w:rPr>
          <w:szCs w:val="16"/>
        </w:rPr>
        <w:t>N.</w:t>
      </w:r>
      <w:r w:rsidR="00770C12">
        <w:rPr>
          <w:szCs w:val="16"/>
        </w:rPr>
        <w:t xml:space="preserve"> De</w:t>
      </w:r>
      <w:r w:rsidR="00BC6E73">
        <w:rPr>
          <w:szCs w:val="16"/>
        </w:rPr>
        <w:t>L</w:t>
      </w:r>
      <w:r w:rsidR="00770C12">
        <w:rPr>
          <w:szCs w:val="16"/>
        </w:rPr>
        <w:t>aurentis</w:t>
      </w:r>
      <w:r w:rsidR="00722101" w:rsidRPr="00D66C7F">
        <w:rPr>
          <w:szCs w:val="16"/>
        </w:rPr>
        <w:t>,</w:t>
      </w:r>
      <w:r w:rsidR="00BC6E73" w:rsidRPr="00D66C7F">
        <w:rPr>
          <w:szCs w:val="16"/>
        </w:rPr>
        <w:t>V.</w:t>
      </w:r>
      <w:r w:rsidR="00722101" w:rsidRPr="00D66C7F">
        <w:rPr>
          <w:szCs w:val="16"/>
        </w:rPr>
        <w:t>L</w:t>
      </w:r>
      <w:r w:rsidR="00770C12">
        <w:rPr>
          <w:szCs w:val="16"/>
        </w:rPr>
        <w:t>osacco</w:t>
      </w:r>
      <w:r w:rsidR="00722101" w:rsidRPr="00D66C7F">
        <w:rPr>
          <w:szCs w:val="16"/>
        </w:rPr>
        <w:t>,</w:t>
      </w:r>
      <w:r w:rsidR="00BC6E73" w:rsidRPr="00D66C7F">
        <w:rPr>
          <w:szCs w:val="16"/>
        </w:rPr>
        <w:t>M.A</w:t>
      </w:r>
      <w:r w:rsidR="00BC6E73">
        <w:rPr>
          <w:szCs w:val="16"/>
        </w:rPr>
        <w:t>.</w:t>
      </w:r>
      <w:r w:rsidR="00722101" w:rsidRPr="00D66C7F">
        <w:rPr>
          <w:szCs w:val="16"/>
        </w:rPr>
        <w:t>M</w:t>
      </w:r>
      <w:r w:rsidR="00770C12">
        <w:rPr>
          <w:szCs w:val="16"/>
        </w:rPr>
        <w:t>ilillo</w:t>
      </w:r>
      <w:r w:rsidR="00722101" w:rsidRPr="00D66C7F">
        <w:rPr>
          <w:szCs w:val="16"/>
        </w:rPr>
        <w:t>,</w:t>
      </w:r>
      <w:r w:rsidR="00BC6E73" w:rsidRPr="00D66C7F">
        <w:rPr>
          <w:szCs w:val="16"/>
        </w:rPr>
        <w:t>M</w:t>
      </w:r>
      <w:r w:rsidR="00BC6E73">
        <w:rPr>
          <w:szCs w:val="16"/>
        </w:rPr>
        <w:t>.</w:t>
      </w:r>
      <w:r w:rsidR="00722101" w:rsidRPr="00D66C7F">
        <w:rPr>
          <w:szCs w:val="16"/>
        </w:rPr>
        <w:t xml:space="preserve"> L</w:t>
      </w:r>
      <w:r w:rsidR="00770C12">
        <w:rPr>
          <w:szCs w:val="16"/>
        </w:rPr>
        <w:t>ai</w:t>
      </w:r>
      <w:r w:rsidR="00722101" w:rsidRPr="00D66C7F">
        <w:rPr>
          <w:szCs w:val="16"/>
        </w:rPr>
        <w:t xml:space="preserve">, </w:t>
      </w:r>
      <w:r w:rsidR="00BC6E73">
        <w:rPr>
          <w:szCs w:val="16"/>
        </w:rPr>
        <w:t>“</w:t>
      </w:r>
      <w:r w:rsidR="00722101" w:rsidRPr="00D66C7F">
        <w:rPr>
          <w:szCs w:val="16"/>
        </w:rPr>
        <w:t xml:space="preserve">Chemical investigations of volatile constituents of </w:t>
      </w:r>
      <w:r w:rsidR="00722101" w:rsidRPr="00D66C7F">
        <w:rPr>
          <w:i/>
          <w:szCs w:val="16"/>
        </w:rPr>
        <w:t>Inulaviscosa</w:t>
      </w:r>
      <w:r w:rsidR="00722101" w:rsidRPr="00D66C7F">
        <w:rPr>
          <w:szCs w:val="16"/>
        </w:rPr>
        <w:t xml:space="preserve"> (L.) Aiton (Asteraceae) from diffrent areas of Apulia, Southern Italy.</w:t>
      </w:r>
      <w:r w:rsidR="00BC6E73">
        <w:rPr>
          <w:szCs w:val="16"/>
        </w:rPr>
        <w:t xml:space="preserve">” </w:t>
      </w:r>
      <w:r w:rsidR="00722101" w:rsidRPr="00D66C7F">
        <w:rPr>
          <w:i/>
          <w:iCs/>
          <w:szCs w:val="16"/>
        </w:rPr>
        <w:t>Delpinoa</w:t>
      </w:r>
      <w:r w:rsidR="00722101" w:rsidRPr="00D66C7F">
        <w:rPr>
          <w:szCs w:val="16"/>
        </w:rPr>
        <w:t>.</w:t>
      </w:r>
      <w:r w:rsidR="00770C12">
        <w:rPr>
          <w:szCs w:val="16"/>
        </w:rPr>
        <w:t xml:space="preserve"> vol.</w:t>
      </w:r>
      <w:r w:rsidR="00722101" w:rsidRPr="00D66C7F">
        <w:rPr>
          <w:bCs/>
          <w:szCs w:val="16"/>
        </w:rPr>
        <w:t>44</w:t>
      </w:r>
      <w:r w:rsidR="00BC6E73">
        <w:rPr>
          <w:szCs w:val="16"/>
        </w:rPr>
        <w:t xml:space="preserve"> , pp.</w:t>
      </w:r>
      <w:r w:rsidR="00722101" w:rsidRPr="00D66C7F">
        <w:rPr>
          <w:szCs w:val="16"/>
        </w:rPr>
        <w:t>115-119</w:t>
      </w:r>
      <w:r w:rsidR="00BC6E73">
        <w:rPr>
          <w:szCs w:val="16"/>
        </w:rPr>
        <w:t>,</w:t>
      </w:r>
      <w:r w:rsidR="00BC6E73" w:rsidRPr="00D66C7F">
        <w:rPr>
          <w:szCs w:val="16"/>
        </w:rPr>
        <w:t>2002.</w:t>
      </w:r>
    </w:p>
    <w:p w:rsidR="006F4009" w:rsidRDefault="006F4009" w:rsidP="006F4009">
      <w:pPr>
        <w:pStyle w:val="IEEEReferenceItem"/>
        <w:numPr>
          <w:ilvl w:val="0"/>
          <w:numId w:val="0"/>
        </w:numPr>
        <w:ind w:left="432" w:hanging="432"/>
      </w:pPr>
      <w:r>
        <w:rPr>
          <w:szCs w:val="16"/>
        </w:rPr>
        <w:t>[4]    L.</w:t>
      </w:r>
      <w:r w:rsidR="00722101" w:rsidRPr="00D66C7F">
        <w:rPr>
          <w:szCs w:val="16"/>
        </w:rPr>
        <w:t>L</w:t>
      </w:r>
      <w:r w:rsidR="00BC6E73">
        <w:rPr>
          <w:szCs w:val="16"/>
        </w:rPr>
        <w:t>aura</w:t>
      </w:r>
      <w:r w:rsidR="00722101" w:rsidRPr="00D66C7F">
        <w:rPr>
          <w:szCs w:val="16"/>
        </w:rPr>
        <w:t>,</w:t>
      </w:r>
      <w:r w:rsidR="00BC6E73">
        <w:rPr>
          <w:szCs w:val="16"/>
        </w:rPr>
        <w:t>C.,</w:t>
      </w:r>
      <w:r w:rsidR="00722101" w:rsidRPr="00D66C7F">
        <w:rPr>
          <w:szCs w:val="16"/>
        </w:rPr>
        <w:t>R</w:t>
      </w:r>
      <w:r w:rsidR="00BC6E73">
        <w:rPr>
          <w:szCs w:val="16"/>
        </w:rPr>
        <w:t>olih</w:t>
      </w:r>
      <w:r w:rsidR="00722101" w:rsidRPr="00D66C7F">
        <w:rPr>
          <w:szCs w:val="16"/>
        </w:rPr>
        <w:t xml:space="preserve">, </w:t>
      </w:r>
      <w:r w:rsidR="00BC6E73">
        <w:rPr>
          <w:szCs w:val="16"/>
        </w:rPr>
        <w:t>“</w:t>
      </w:r>
      <w:r w:rsidR="00722101" w:rsidRPr="00D66C7F">
        <w:rPr>
          <w:szCs w:val="16"/>
        </w:rPr>
        <w:t xml:space="preserve">Observations and research on an extract of </w:t>
      </w:r>
      <w:r w:rsidR="00722101" w:rsidRPr="00D66C7F">
        <w:rPr>
          <w:i/>
          <w:szCs w:val="16"/>
        </w:rPr>
        <w:t>Inulaviscosa</w:t>
      </w:r>
      <w:r w:rsidR="00722101" w:rsidRPr="00D66C7F">
        <w:rPr>
          <w:szCs w:val="16"/>
        </w:rPr>
        <w:t>Ait.</w:t>
      </w:r>
      <w:r w:rsidR="00BC6E73">
        <w:rPr>
          <w:szCs w:val="16"/>
        </w:rPr>
        <w:t>”</w:t>
      </w:r>
      <w:r w:rsidR="00722101" w:rsidRPr="00D66C7F">
        <w:rPr>
          <w:i/>
          <w:iCs/>
          <w:szCs w:val="16"/>
        </w:rPr>
        <w:t>BollettinodellaSocietàItaliana di BiologiaSperimentale</w:t>
      </w:r>
      <w:r w:rsidR="00722101" w:rsidRPr="00D66C7F">
        <w:rPr>
          <w:szCs w:val="16"/>
        </w:rPr>
        <w:t xml:space="preserve">. </w:t>
      </w:r>
      <w:r w:rsidR="00770C12">
        <w:rPr>
          <w:szCs w:val="16"/>
        </w:rPr>
        <w:t>Vol.</w:t>
      </w:r>
      <w:r w:rsidR="00722101" w:rsidRPr="00D66C7F">
        <w:rPr>
          <w:bCs/>
          <w:szCs w:val="16"/>
        </w:rPr>
        <w:t>66</w:t>
      </w:r>
      <w:r w:rsidR="00770C12">
        <w:rPr>
          <w:szCs w:val="16"/>
        </w:rPr>
        <w:t>,pp.</w:t>
      </w:r>
      <w:r w:rsidR="00722101" w:rsidRPr="00D66C7F">
        <w:rPr>
          <w:szCs w:val="16"/>
        </w:rPr>
        <w:t>829-834</w:t>
      </w:r>
      <w:r w:rsidR="00BC6E73">
        <w:rPr>
          <w:szCs w:val="16"/>
        </w:rPr>
        <w:t>,</w:t>
      </w:r>
      <w:r w:rsidR="00BC6E73" w:rsidRPr="00D66C7F">
        <w:rPr>
          <w:szCs w:val="16"/>
        </w:rPr>
        <w:t>1990</w:t>
      </w:r>
      <w:r w:rsidR="00722101" w:rsidRPr="00D66C7F">
        <w:rPr>
          <w:szCs w:val="16"/>
        </w:rPr>
        <w:t>.</w:t>
      </w:r>
    </w:p>
    <w:p w:rsidR="00D66C7F" w:rsidRPr="00D66C7F" w:rsidRDefault="006F4009" w:rsidP="006F4009">
      <w:pPr>
        <w:pStyle w:val="IEEEReferenceItem"/>
        <w:numPr>
          <w:ilvl w:val="0"/>
          <w:numId w:val="0"/>
        </w:numPr>
        <w:ind w:left="432" w:hanging="432"/>
      </w:pPr>
      <w:r>
        <w:t xml:space="preserve">[5]     </w:t>
      </w:r>
      <w:r w:rsidR="00BC6E73" w:rsidRPr="00D66C7F">
        <w:rPr>
          <w:szCs w:val="16"/>
        </w:rPr>
        <w:t>M.</w:t>
      </w:r>
      <w:r w:rsidR="00722101" w:rsidRPr="00D66C7F">
        <w:rPr>
          <w:szCs w:val="16"/>
        </w:rPr>
        <w:t>A</w:t>
      </w:r>
      <w:r w:rsidR="00BC6E73">
        <w:rPr>
          <w:szCs w:val="16"/>
        </w:rPr>
        <w:t>kkawi</w:t>
      </w:r>
      <w:r w:rsidR="00722101" w:rsidRPr="00D66C7F">
        <w:rPr>
          <w:szCs w:val="16"/>
        </w:rPr>
        <w:t xml:space="preserve">, </w:t>
      </w:r>
      <w:r w:rsidR="00770C12">
        <w:rPr>
          <w:szCs w:val="16"/>
        </w:rPr>
        <w:t>I.</w:t>
      </w:r>
      <w:r w:rsidR="00722101" w:rsidRPr="00D66C7F">
        <w:rPr>
          <w:szCs w:val="16"/>
        </w:rPr>
        <w:t>A</w:t>
      </w:r>
      <w:r w:rsidR="00770C12">
        <w:rPr>
          <w:szCs w:val="16"/>
        </w:rPr>
        <w:t>bbasi</w:t>
      </w:r>
      <w:r w:rsidR="00722101" w:rsidRPr="00D66C7F">
        <w:rPr>
          <w:szCs w:val="16"/>
        </w:rPr>
        <w:t xml:space="preserve">, </w:t>
      </w:r>
      <w:r w:rsidR="00770C12">
        <w:rPr>
          <w:szCs w:val="16"/>
        </w:rPr>
        <w:t xml:space="preserve">S. </w:t>
      </w:r>
      <w:r w:rsidR="00722101" w:rsidRPr="00D66C7F">
        <w:rPr>
          <w:szCs w:val="16"/>
        </w:rPr>
        <w:t>J</w:t>
      </w:r>
      <w:r w:rsidR="00770C12">
        <w:rPr>
          <w:szCs w:val="16"/>
        </w:rPr>
        <w:t>aber</w:t>
      </w:r>
      <w:r w:rsidR="00722101" w:rsidRPr="00D66C7F">
        <w:rPr>
          <w:szCs w:val="16"/>
        </w:rPr>
        <w:t xml:space="preserve">, </w:t>
      </w:r>
      <w:r w:rsidR="006D252B">
        <w:rPr>
          <w:szCs w:val="16"/>
        </w:rPr>
        <w:t xml:space="preserve">Q. </w:t>
      </w:r>
      <w:r w:rsidR="00722101" w:rsidRPr="00D66C7F">
        <w:rPr>
          <w:szCs w:val="16"/>
        </w:rPr>
        <w:t>A</w:t>
      </w:r>
      <w:r w:rsidR="006D252B">
        <w:rPr>
          <w:szCs w:val="16"/>
        </w:rPr>
        <w:t>buremeleh</w:t>
      </w:r>
      <w:r w:rsidR="00722101" w:rsidRPr="00D66C7F">
        <w:rPr>
          <w:szCs w:val="16"/>
        </w:rPr>
        <w:t xml:space="preserve">, </w:t>
      </w:r>
      <w:r w:rsidR="006D252B">
        <w:rPr>
          <w:szCs w:val="16"/>
        </w:rPr>
        <w:t xml:space="preserve">A. </w:t>
      </w:r>
      <w:r w:rsidR="00722101" w:rsidRPr="00D66C7F">
        <w:rPr>
          <w:szCs w:val="16"/>
        </w:rPr>
        <w:t>N</w:t>
      </w:r>
      <w:r w:rsidR="006D252B">
        <w:rPr>
          <w:szCs w:val="16"/>
        </w:rPr>
        <w:t>aseredin</w:t>
      </w:r>
      <w:r w:rsidR="00722101" w:rsidRPr="00D66C7F">
        <w:rPr>
          <w:szCs w:val="16"/>
        </w:rPr>
        <w:t xml:space="preserve">, </w:t>
      </w:r>
      <w:r w:rsidR="006D252B">
        <w:rPr>
          <w:szCs w:val="16"/>
        </w:rPr>
        <w:t xml:space="preserve">P. </w:t>
      </w:r>
      <w:r w:rsidR="00722101" w:rsidRPr="00D66C7F">
        <w:rPr>
          <w:szCs w:val="16"/>
        </w:rPr>
        <w:t>L</w:t>
      </w:r>
      <w:r w:rsidR="006D252B">
        <w:rPr>
          <w:szCs w:val="16"/>
        </w:rPr>
        <w:t>utgen</w:t>
      </w:r>
      <w:r w:rsidR="00722101" w:rsidRPr="00D66C7F">
        <w:rPr>
          <w:szCs w:val="16"/>
        </w:rPr>
        <w:t xml:space="preserve">, </w:t>
      </w:r>
      <w:r w:rsidR="006D252B">
        <w:rPr>
          <w:szCs w:val="16"/>
        </w:rPr>
        <w:t>“</w:t>
      </w:r>
      <w:r w:rsidR="00722101" w:rsidRPr="00D66C7F">
        <w:rPr>
          <w:szCs w:val="16"/>
        </w:rPr>
        <w:t xml:space="preserve">Investigation of Traditional Palestinian Medicinal Plant </w:t>
      </w:r>
      <w:r w:rsidR="00722101" w:rsidRPr="00D66C7F">
        <w:rPr>
          <w:i/>
          <w:szCs w:val="16"/>
        </w:rPr>
        <w:t>Inulaviscosa</w:t>
      </w:r>
      <w:r w:rsidR="00722101" w:rsidRPr="00D66C7F">
        <w:rPr>
          <w:szCs w:val="16"/>
        </w:rPr>
        <w:t xml:space="preserve"> as Potential Anti-malarial Agent</w:t>
      </w:r>
      <w:r w:rsidR="006D252B">
        <w:rPr>
          <w:szCs w:val="16"/>
        </w:rPr>
        <w:t>”</w:t>
      </w:r>
      <w:r w:rsidR="00722101" w:rsidRPr="00D66C7F">
        <w:rPr>
          <w:szCs w:val="16"/>
        </w:rPr>
        <w:t xml:space="preserve">. </w:t>
      </w:r>
      <w:r w:rsidR="00722101" w:rsidRPr="00D66C7F">
        <w:rPr>
          <w:i/>
          <w:iCs/>
          <w:szCs w:val="16"/>
        </w:rPr>
        <w:t>Br. J. Pharmacol. Toxicol</w:t>
      </w:r>
      <w:r w:rsidR="00722101" w:rsidRPr="00D66C7F">
        <w:rPr>
          <w:szCs w:val="16"/>
        </w:rPr>
        <w:t>.</w:t>
      </w:r>
      <w:r w:rsidR="006D252B">
        <w:rPr>
          <w:szCs w:val="16"/>
        </w:rPr>
        <w:t>Vol.</w:t>
      </w:r>
      <w:r w:rsidR="00722101" w:rsidRPr="00D66C7F">
        <w:rPr>
          <w:bCs/>
          <w:szCs w:val="16"/>
        </w:rPr>
        <w:t>5(5)</w:t>
      </w:r>
      <w:r w:rsidR="006D252B">
        <w:rPr>
          <w:szCs w:val="16"/>
        </w:rPr>
        <w:t>,pp.</w:t>
      </w:r>
      <w:r w:rsidR="00722101" w:rsidRPr="00D66C7F">
        <w:rPr>
          <w:szCs w:val="16"/>
        </w:rPr>
        <w:t>156-162</w:t>
      </w:r>
      <w:r w:rsidR="006D252B">
        <w:rPr>
          <w:szCs w:val="16"/>
        </w:rPr>
        <w:t xml:space="preserve">, </w:t>
      </w:r>
      <w:r w:rsidR="006D252B" w:rsidRPr="00D66C7F">
        <w:rPr>
          <w:szCs w:val="16"/>
        </w:rPr>
        <w:t>2014</w:t>
      </w:r>
      <w:r w:rsidR="00722101" w:rsidRPr="00D66C7F">
        <w:rPr>
          <w:szCs w:val="16"/>
        </w:rPr>
        <w:t>.</w:t>
      </w:r>
    </w:p>
    <w:p w:rsidR="00D66C7F" w:rsidRPr="00D66C7F" w:rsidRDefault="006F4009" w:rsidP="006F4009">
      <w:pPr>
        <w:pStyle w:val="IEEEReferenceItem"/>
        <w:numPr>
          <w:ilvl w:val="0"/>
          <w:numId w:val="0"/>
        </w:numPr>
        <w:ind w:left="432" w:hanging="432"/>
      </w:pPr>
      <w:r>
        <w:rPr>
          <w:szCs w:val="16"/>
        </w:rPr>
        <w:t xml:space="preserve">[6]    </w:t>
      </w:r>
      <w:r w:rsidR="006D252B">
        <w:rPr>
          <w:szCs w:val="16"/>
        </w:rPr>
        <w:t xml:space="preserve">S. </w:t>
      </w:r>
      <w:r w:rsidR="00722101" w:rsidRPr="00D66C7F">
        <w:rPr>
          <w:szCs w:val="16"/>
        </w:rPr>
        <w:t>F</w:t>
      </w:r>
      <w:r w:rsidR="006D252B">
        <w:rPr>
          <w:szCs w:val="16"/>
        </w:rPr>
        <w:t>ranco</w:t>
      </w:r>
      <w:r w:rsidR="00722101" w:rsidRPr="00D66C7F">
        <w:rPr>
          <w:szCs w:val="16"/>
        </w:rPr>
        <w:t>-M</w:t>
      </w:r>
      <w:r w:rsidR="006D252B">
        <w:rPr>
          <w:szCs w:val="16"/>
        </w:rPr>
        <w:t>ican</w:t>
      </w:r>
      <w:r w:rsidR="00722101" w:rsidRPr="00D66C7F">
        <w:rPr>
          <w:szCs w:val="16"/>
        </w:rPr>
        <w:t xml:space="preserve">, </w:t>
      </w:r>
      <w:r w:rsidR="006D252B">
        <w:rPr>
          <w:szCs w:val="16"/>
        </w:rPr>
        <w:t xml:space="preserve">J. </w:t>
      </w:r>
      <w:r w:rsidR="00722101" w:rsidRPr="00D66C7F">
        <w:rPr>
          <w:szCs w:val="16"/>
        </w:rPr>
        <w:t>C</w:t>
      </w:r>
      <w:r w:rsidR="006D252B">
        <w:rPr>
          <w:szCs w:val="16"/>
        </w:rPr>
        <w:t>asro</w:t>
      </w:r>
      <w:r w:rsidR="00722101" w:rsidRPr="00D66C7F">
        <w:rPr>
          <w:szCs w:val="16"/>
        </w:rPr>
        <w:t>,</w:t>
      </w:r>
      <w:r w:rsidR="006D252B">
        <w:rPr>
          <w:szCs w:val="16"/>
        </w:rPr>
        <w:t xml:space="preserve"> M. “</w:t>
      </w:r>
      <w:r w:rsidR="00722101" w:rsidRPr="00D66C7F">
        <w:rPr>
          <w:szCs w:val="16"/>
        </w:rPr>
        <w:t>C</w:t>
      </w:r>
      <w:r w:rsidR="006D252B">
        <w:rPr>
          <w:szCs w:val="16"/>
        </w:rPr>
        <w:t>ampos</w:t>
      </w:r>
      <w:r w:rsidR="00722101" w:rsidRPr="00D66C7F">
        <w:rPr>
          <w:szCs w:val="16"/>
        </w:rPr>
        <w:t xml:space="preserve">. Preliminary study of the parasitic complex associated with </w:t>
      </w:r>
      <w:r w:rsidR="00722101" w:rsidRPr="00D66C7F">
        <w:rPr>
          <w:i/>
          <w:szCs w:val="16"/>
        </w:rPr>
        <w:t>Dittrichiaviscosa</w:t>
      </w:r>
      <w:r w:rsidR="000D40F9" w:rsidRPr="00D66C7F">
        <w:rPr>
          <w:szCs w:val="16"/>
        </w:rPr>
        <w:t xml:space="preserve"> in An</w:t>
      </w:r>
      <w:r w:rsidR="00722101" w:rsidRPr="00D66C7F">
        <w:rPr>
          <w:szCs w:val="16"/>
        </w:rPr>
        <w:t>dalusia (Spain)</w:t>
      </w:r>
      <w:r w:rsidR="006D252B">
        <w:rPr>
          <w:szCs w:val="16"/>
        </w:rPr>
        <w:t>”</w:t>
      </w:r>
      <w:r w:rsidR="00722101" w:rsidRPr="00D66C7F">
        <w:rPr>
          <w:szCs w:val="16"/>
        </w:rPr>
        <w:t xml:space="preserve">. </w:t>
      </w:r>
      <w:r w:rsidR="00722101" w:rsidRPr="00D66C7F">
        <w:rPr>
          <w:i/>
          <w:iCs/>
          <w:szCs w:val="16"/>
        </w:rPr>
        <w:t>IOBC/WPRS Bulletin.</w:t>
      </w:r>
      <w:r w:rsidR="006D252B">
        <w:rPr>
          <w:i/>
          <w:iCs/>
          <w:szCs w:val="16"/>
        </w:rPr>
        <w:t>Vol.</w:t>
      </w:r>
      <w:r w:rsidR="00722101" w:rsidRPr="00D66C7F">
        <w:rPr>
          <w:bCs/>
          <w:szCs w:val="16"/>
        </w:rPr>
        <w:t>53</w:t>
      </w:r>
      <w:r w:rsidR="006D252B">
        <w:rPr>
          <w:szCs w:val="16"/>
        </w:rPr>
        <w:t>, pp.</w:t>
      </w:r>
      <w:r w:rsidR="00722101" w:rsidRPr="00D66C7F">
        <w:rPr>
          <w:szCs w:val="16"/>
        </w:rPr>
        <w:t>139-143</w:t>
      </w:r>
      <w:r w:rsidR="006D252B">
        <w:rPr>
          <w:szCs w:val="16"/>
        </w:rPr>
        <w:t xml:space="preserve">, </w:t>
      </w:r>
      <w:r w:rsidR="006D252B" w:rsidRPr="00D66C7F">
        <w:rPr>
          <w:szCs w:val="16"/>
        </w:rPr>
        <w:t>2010</w:t>
      </w:r>
      <w:r w:rsidR="00722101" w:rsidRPr="00D66C7F">
        <w:rPr>
          <w:szCs w:val="16"/>
        </w:rPr>
        <w:t>.</w:t>
      </w:r>
    </w:p>
    <w:p w:rsidR="00D66C7F" w:rsidRPr="00D66C7F" w:rsidRDefault="006F4009" w:rsidP="006F4009">
      <w:pPr>
        <w:pStyle w:val="IEEEReferenceItem"/>
        <w:numPr>
          <w:ilvl w:val="0"/>
          <w:numId w:val="0"/>
        </w:numPr>
        <w:ind w:left="432" w:hanging="432"/>
      </w:pPr>
      <w:r>
        <w:rPr>
          <w:szCs w:val="16"/>
        </w:rPr>
        <w:t xml:space="preserve">[7]   </w:t>
      </w:r>
      <w:r w:rsidR="006D252B">
        <w:rPr>
          <w:szCs w:val="16"/>
        </w:rPr>
        <w:t xml:space="preserve">E. </w:t>
      </w:r>
      <w:r w:rsidR="00722101" w:rsidRPr="00D66C7F">
        <w:rPr>
          <w:szCs w:val="16"/>
        </w:rPr>
        <w:t>N</w:t>
      </w:r>
      <w:r w:rsidR="006D252B">
        <w:rPr>
          <w:szCs w:val="16"/>
        </w:rPr>
        <w:t>awafleh</w:t>
      </w:r>
      <w:r w:rsidR="00722101" w:rsidRPr="00D66C7F">
        <w:rPr>
          <w:szCs w:val="16"/>
        </w:rPr>
        <w:t>,</w:t>
      </w:r>
      <w:r w:rsidR="006D252B">
        <w:rPr>
          <w:szCs w:val="16"/>
        </w:rPr>
        <w:t xml:space="preserve"> M.</w:t>
      </w:r>
      <w:r w:rsidR="00722101" w:rsidRPr="00D66C7F">
        <w:rPr>
          <w:szCs w:val="16"/>
        </w:rPr>
        <w:t>I</w:t>
      </w:r>
      <w:r w:rsidR="006D252B">
        <w:rPr>
          <w:szCs w:val="16"/>
        </w:rPr>
        <w:t>rshedat</w:t>
      </w:r>
      <w:r w:rsidR="00722101" w:rsidRPr="00D66C7F">
        <w:rPr>
          <w:szCs w:val="16"/>
        </w:rPr>
        <w:t xml:space="preserve">, </w:t>
      </w:r>
      <w:r w:rsidR="006D252B">
        <w:rPr>
          <w:szCs w:val="16"/>
        </w:rPr>
        <w:t xml:space="preserve">T. </w:t>
      </w:r>
      <w:r w:rsidR="00722101" w:rsidRPr="00D66C7F">
        <w:rPr>
          <w:szCs w:val="16"/>
        </w:rPr>
        <w:t>B</w:t>
      </w:r>
      <w:r w:rsidR="006D252B">
        <w:rPr>
          <w:szCs w:val="16"/>
        </w:rPr>
        <w:t>ateineh</w:t>
      </w:r>
      <w:r w:rsidR="00722101" w:rsidRPr="00D66C7F">
        <w:rPr>
          <w:szCs w:val="16"/>
        </w:rPr>
        <w:t>,</w:t>
      </w:r>
      <w:r w:rsidR="006D252B">
        <w:rPr>
          <w:szCs w:val="16"/>
        </w:rPr>
        <w:t xml:space="preserve"> R.</w:t>
      </w:r>
      <w:r w:rsidR="00722101" w:rsidRPr="00D66C7F">
        <w:rPr>
          <w:szCs w:val="16"/>
        </w:rPr>
        <w:t>M</w:t>
      </w:r>
      <w:r w:rsidR="006D252B">
        <w:rPr>
          <w:szCs w:val="16"/>
        </w:rPr>
        <w:t>uhaidat</w:t>
      </w:r>
      <w:r w:rsidR="00722101" w:rsidRPr="00D66C7F">
        <w:rPr>
          <w:szCs w:val="16"/>
        </w:rPr>
        <w:t xml:space="preserve">, </w:t>
      </w:r>
      <w:r w:rsidR="006D252B">
        <w:rPr>
          <w:szCs w:val="16"/>
        </w:rPr>
        <w:t>M. Al</w:t>
      </w:r>
      <w:r w:rsidR="00722101" w:rsidRPr="00D66C7F">
        <w:rPr>
          <w:szCs w:val="16"/>
        </w:rPr>
        <w:t>-Q</w:t>
      </w:r>
      <w:r w:rsidR="006D252B">
        <w:rPr>
          <w:szCs w:val="16"/>
        </w:rPr>
        <w:t>udah</w:t>
      </w:r>
      <w:r w:rsidR="00722101" w:rsidRPr="00D66C7F">
        <w:rPr>
          <w:szCs w:val="16"/>
        </w:rPr>
        <w:t xml:space="preserve">, </w:t>
      </w:r>
      <w:r w:rsidR="006D252B">
        <w:rPr>
          <w:szCs w:val="16"/>
        </w:rPr>
        <w:t xml:space="preserve">A. </w:t>
      </w:r>
      <w:r w:rsidR="00722101" w:rsidRPr="00D66C7F">
        <w:rPr>
          <w:szCs w:val="16"/>
        </w:rPr>
        <w:t>A</w:t>
      </w:r>
      <w:r w:rsidR="006D252B">
        <w:rPr>
          <w:szCs w:val="16"/>
        </w:rPr>
        <w:t>lomary</w:t>
      </w:r>
      <w:r w:rsidR="00722101" w:rsidRPr="00D66C7F">
        <w:rPr>
          <w:szCs w:val="16"/>
        </w:rPr>
        <w:t xml:space="preserve">. </w:t>
      </w:r>
      <w:r w:rsidR="006D252B">
        <w:rPr>
          <w:szCs w:val="16"/>
        </w:rPr>
        <w:t>“</w:t>
      </w:r>
      <w:r w:rsidR="00722101" w:rsidRPr="00D66C7F">
        <w:rPr>
          <w:szCs w:val="16"/>
        </w:rPr>
        <w:t>The effects of</w:t>
      </w:r>
      <w:r w:rsidR="00722101" w:rsidRPr="00D66C7F">
        <w:rPr>
          <w:i/>
          <w:szCs w:val="16"/>
        </w:rPr>
        <w:t>Inulaviscosa</w:t>
      </w:r>
      <w:r w:rsidR="00722101" w:rsidRPr="00D66C7F">
        <w:rPr>
          <w:szCs w:val="16"/>
        </w:rPr>
        <w:t xml:space="preserve"> Extract on corrosion of copper in NaOH Solution</w:t>
      </w:r>
      <w:r w:rsidR="006D252B">
        <w:rPr>
          <w:szCs w:val="16"/>
        </w:rPr>
        <w:t>”</w:t>
      </w:r>
      <w:r w:rsidR="00722101" w:rsidRPr="00D66C7F">
        <w:rPr>
          <w:szCs w:val="16"/>
        </w:rPr>
        <w:t xml:space="preserve">. </w:t>
      </w:r>
      <w:r w:rsidR="00722101" w:rsidRPr="00D66C7F">
        <w:rPr>
          <w:i/>
          <w:iCs/>
          <w:szCs w:val="16"/>
          <w:lang w:val="fr-FR"/>
        </w:rPr>
        <w:t>Res.J.Chem.Sci</w:t>
      </w:r>
      <w:r w:rsidR="00722101" w:rsidRPr="00D66C7F">
        <w:rPr>
          <w:szCs w:val="16"/>
          <w:lang w:val="fr-FR"/>
        </w:rPr>
        <w:t xml:space="preserve">. </w:t>
      </w:r>
      <w:r w:rsidR="006D252B">
        <w:rPr>
          <w:szCs w:val="16"/>
          <w:lang w:val="fr-FR"/>
        </w:rPr>
        <w:t>vol.</w:t>
      </w:r>
      <w:r w:rsidR="00722101" w:rsidRPr="00D66C7F">
        <w:rPr>
          <w:bCs/>
          <w:szCs w:val="16"/>
          <w:lang w:val="fr-FR"/>
        </w:rPr>
        <w:t>2(9)</w:t>
      </w:r>
      <w:r w:rsidR="00722101" w:rsidRPr="00D66C7F">
        <w:rPr>
          <w:szCs w:val="16"/>
          <w:lang w:val="fr-FR"/>
        </w:rPr>
        <w:t xml:space="preserve">, </w:t>
      </w:r>
      <w:r w:rsidR="006D252B">
        <w:rPr>
          <w:szCs w:val="16"/>
          <w:lang w:val="fr-FR"/>
        </w:rPr>
        <w:t>pp.</w:t>
      </w:r>
      <w:r w:rsidR="00722101" w:rsidRPr="00D66C7F">
        <w:rPr>
          <w:szCs w:val="16"/>
          <w:lang w:val="fr-FR"/>
        </w:rPr>
        <w:t>37-41,</w:t>
      </w:r>
      <w:r w:rsidR="006D252B" w:rsidRPr="00D66C7F">
        <w:rPr>
          <w:szCs w:val="16"/>
        </w:rPr>
        <w:t>2012</w:t>
      </w:r>
      <w:r w:rsidR="006D252B">
        <w:rPr>
          <w:szCs w:val="16"/>
        </w:rPr>
        <w:t>.</w:t>
      </w:r>
    </w:p>
    <w:p w:rsidR="00D66C7F" w:rsidRPr="007329E3" w:rsidRDefault="006F4009" w:rsidP="006F4009">
      <w:pPr>
        <w:pStyle w:val="IEEEReferenceItem"/>
        <w:numPr>
          <w:ilvl w:val="0"/>
          <w:numId w:val="0"/>
        </w:numPr>
        <w:ind w:left="432" w:hanging="432"/>
      </w:pPr>
      <w:r>
        <w:rPr>
          <w:rStyle w:val="st"/>
        </w:rPr>
        <w:t xml:space="preserve">[8]      </w:t>
      </w:r>
      <w:r w:rsidR="00ED33FA" w:rsidRPr="006F4009">
        <w:rPr>
          <w:rStyle w:val="st"/>
        </w:rPr>
        <w:t>S. M</w:t>
      </w:r>
      <w:r w:rsidR="00ED33FA">
        <w:rPr>
          <w:rStyle w:val="st"/>
          <w:i/>
        </w:rPr>
        <w:t>.</w:t>
      </w:r>
      <w:r w:rsidR="007329E3" w:rsidRPr="007329E3">
        <w:rPr>
          <w:rStyle w:val="Accentuation"/>
          <w:i w:val="0"/>
        </w:rPr>
        <w:t>Albano</w:t>
      </w:r>
      <w:r w:rsidR="00ED33FA">
        <w:rPr>
          <w:rStyle w:val="Accentuation"/>
          <w:i w:val="0"/>
        </w:rPr>
        <w:t>,</w:t>
      </w:r>
      <w:r w:rsidR="007329E3" w:rsidRPr="007329E3">
        <w:rPr>
          <w:rStyle w:val="st"/>
          <w:i/>
        </w:rPr>
        <w:t xml:space="preserve"> A. S. </w:t>
      </w:r>
      <w:r w:rsidR="007329E3" w:rsidRPr="007329E3">
        <w:rPr>
          <w:rStyle w:val="Accentuation"/>
          <w:i w:val="0"/>
        </w:rPr>
        <w:t>Lima</w:t>
      </w:r>
      <w:r w:rsidR="007329E3" w:rsidRPr="007329E3">
        <w:rPr>
          <w:rStyle w:val="st"/>
          <w:i/>
        </w:rPr>
        <w:t xml:space="preserve">, M. G. Miguel, L. G. Pedro, J. G. Barroso, A. C. </w:t>
      </w:r>
      <w:r w:rsidR="007329E3" w:rsidRPr="007329E3">
        <w:rPr>
          <w:rStyle w:val="Accentuation"/>
          <w:i w:val="0"/>
        </w:rPr>
        <w:t>Figueiredo</w:t>
      </w:r>
      <w:r w:rsidR="007329E3">
        <w:rPr>
          <w:szCs w:val="16"/>
        </w:rPr>
        <w:t>, “</w:t>
      </w:r>
      <w:r w:rsidR="000D40F9" w:rsidRPr="00D66C7F">
        <w:rPr>
          <w:szCs w:val="16"/>
        </w:rPr>
        <w:t>Antioxidant, Anti-5-lipoxygenase and Antiacetyl</w:t>
      </w:r>
      <w:r>
        <w:rPr>
          <w:szCs w:val="16"/>
        </w:rPr>
        <w:t>-</w:t>
      </w:r>
      <w:r w:rsidR="000D40F9" w:rsidRPr="00D66C7F">
        <w:rPr>
          <w:szCs w:val="16"/>
        </w:rPr>
        <w:t>cholinesterase Activities of Essential Oils and Decoction Waters of Some Aromatic Plants</w:t>
      </w:r>
      <w:r w:rsidR="007329E3">
        <w:rPr>
          <w:szCs w:val="16"/>
        </w:rPr>
        <w:t>”</w:t>
      </w:r>
      <w:r w:rsidR="000D40F9" w:rsidRPr="00D66C7F">
        <w:rPr>
          <w:szCs w:val="16"/>
        </w:rPr>
        <w:t xml:space="preserve">. </w:t>
      </w:r>
      <w:r w:rsidR="000D40F9" w:rsidRPr="00D66C7F">
        <w:rPr>
          <w:i/>
          <w:iCs/>
          <w:szCs w:val="16"/>
        </w:rPr>
        <w:t>Rec. Nat. Prod</w:t>
      </w:r>
      <w:r w:rsidR="000D40F9" w:rsidRPr="00D66C7F">
        <w:rPr>
          <w:szCs w:val="16"/>
        </w:rPr>
        <w:t xml:space="preserve">. </w:t>
      </w:r>
      <w:r w:rsidR="007329E3">
        <w:rPr>
          <w:szCs w:val="16"/>
        </w:rPr>
        <w:t>Vol.</w:t>
      </w:r>
      <w:r w:rsidR="000D40F9" w:rsidRPr="00D66C7F">
        <w:rPr>
          <w:bCs/>
          <w:szCs w:val="16"/>
        </w:rPr>
        <w:t>6 (1)</w:t>
      </w:r>
      <w:r w:rsidR="007329E3">
        <w:rPr>
          <w:szCs w:val="16"/>
        </w:rPr>
        <w:t>, pp.35-48, 2012</w:t>
      </w:r>
      <w:r w:rsidR="007329E3" w:rsidRPr="00D66C7F">
        <w:rPr>
          <w:szCs w:val="16"/>
        </w:rPr>
        <w:t>.</w:t>
      </w:r>
    </w:p>
    <w:p w:rsidR="007329E3" w:rsidRDefault="006F4009" w:rsidP="006F4009">
      <w:pPr>
        <w:pStyle w:val="IEEEReferenceItem"/>
        <w:numPr>
          <w:ilvl w:val="0"/>
          <w:numId w:val="0"/>
        </w:numPr>
        <w:ind w:left="432" w:hanging="432"/>
        <w:rPr>
          <w:lang w:val="fr-FR"/>
        </w:rPr>
      </w:pPr>
      <w:r>
        <w:t xml:space="preserve">[9]     </w:t>
      </w:r>
      <w:r w:rsidR="00385AF7">
        <w:t xml:space="preserve">F. </w:t>
      </w:r>
      <w:r w:rsidR="007329E3" w:rsidRPr="009D7397">
        <w:t>C</w:t>
      </w:r>
      <w:r w:rsidR="00385AF7">
        <w:t>andan</w:t>
      </w:r>
      <w:r w:rsidR="007329E3" w:rsidRPr="009D7397">
        <w:t xml:space="preserve">, </w:t>
      </w:r>
      <w:r w:rsidR="00385AF7">
        <w:t xml:space="preserve">M. </w:t>
      </w:r>
      <w:r w:rsidR="007329E3" w:rsidRPr="009D7397">
        <w:t>U</w:t>
      </w:r>
      <w:r w:rsidR="00385AF7">
        <w:t>nlu</w:t>
      </w:r>
      <w:r w:rsidR="007329E3" w:rsidRPr="009D7397">
        <w:t xml:space="preserve">, </w:t>
      </w:r>
      <w:r w:rsidR="00385AF7">
        <w:t xml:space="preserve">B. </w:t>
      </w:r>
      <w:r w:rsidR="007329E3" w:rsidRPr="009D7397">
        <w:t>T</w:t>
      </w:r>
      <w:r w:rsidR="00385AF7">
        <w:t>epe</w:t>
      </w:r>
      <w:r w:rsidR="007329E3" w:rsidRPr="009D7397">
        <w:t>,</w:t>
      </w:r>
      <w:r w:rsidR="00385AF7">
        <w:t xml:space="preserve"> D.</w:t>
      </w:r>
      <w:r w:rsidR="007329E3" w:rsidRPr="009D7397">
        <w:t>D</w:t>
      </w:r>
      <w:r w:rsidR="00385AF7">
        <w:t>aferera</w:t>
      </w:r>
      <w:r w:rsidR="007329E3" w:rsidRPr="009D7397">
        <w:t xml:space="preserve">, </w:t>
      </w:r>
      <w:r w:rsidR="00B27E9D">
        <w:t xml:space="preserve">M. </w:t>
      </w:r>
      <w:r w:rsidR="007329E3" w:rsidRPr="009D7397">
        <w:t>P</w:t>
      </w:r>
      <w:r w:rsidR="00B27E9D">
        <w:t>olissiou</w:t>
      </w:r>
      <w:r w:rsidR="007329E3" w:rsidRPr="009D7397">
        <w:t xml:space="preserve">, </w:t>
      </w:r>
      <w:r w:rsidR="00B27E9D">
        <w:t xml:space="preserve">A. </w:t>
      </w:r>
      <w:r w:rsidR="007329E3" w:rsidRPr="009D7397">
        <w:t>S</w:t>
      </w:r>
      <w:r w:rsidR="00B27E9D">
        <w:t>okmen</w:t>
      </w:r>
      <w:r w:rsidR="007329E3" w:rsidRPr="009D7397">
        <w:t xml:space="preserve">, </w:t>
      </w:r>
      <w:r w:rsidR="00B27E9D">
        <w:t xml:space="preserve">H.A. </w:t>
      </w:r>
      <w:r w:rsidR="007329E3" w:rsidRPr="009D7397">
        <w:t>A</w:t>
      </w:r>
      <w:r w:rsidR="00B27E9D">
        <w:t>kpulat</w:t>
      </w:r>
      <w:r w:rsidR="007329E3" w:rsidRPr="009D7397">
        <w:t xml:space="preserve">, </w:t>
      </w:r>
      <w:r w:rsidR="00B27E9D">
        <w:t>“</w:t>
      </w:r>
      <w:r w:rsidR="007329E3" w:rsidRPr="009D7397">
        <w:t xml:space="preserve">Antioxidant and antimicrobial activity of the essential oil and methanol extracts of Achilleamillefolium subsp. millefoliumAfan. </w:t>
      </w:r>
      <w:r w:rsidR="007329E3" w:rsidRPr="00A35671">
        <w:rPr>
          <w:lang w:val="fr-FR"/>
        </w:rPr>
        <w:t>(Asteraceae)</w:t>
      </w:r>
      <w:r w:rsidR="00B27E9D">
        <w:rPr>
          <w:lang w:val="fr-FR"/>
        </w:rPr>
        <w:t> »</w:t>
      </w:r>
      <w:r w:rsidR="007329E3" w:rsidRPr="00A35671">
        <w:rPr>
          <w:lang w:val="fr-FR"/>
        </w:rPr>
        <w:t xml:space="preserve">. </w:t>
      </w:r>
      <w:r w:rsidR="007329E3" w:rsidRPr="00A35671">
        <w:rPr>
          <w:i/>
          <w:iCs/>
          <w:lang w:val="fr-FR"/>
        </w:rPr>
        <w:t>J Ethnopharmacol</w:t>
      </w:r>
      <w:r w:rsidR="007329E3" w:rsidRPr="00A35671">
        <w:rPr>
          <w:lang w:val="fr-FR"/>
        </w:rPr>
        <w:t>,</w:t>
      </w:r>
      <w:r w:rsidR="00B27E9D">
        <w:rPr>
          <w:lang w:val="fr-FR"/>
        </w:rPr>
        <w:t xml:space="preserve"> Vol.</w:t>
      </w:r>
      <w:r w:rsidR="007329E3" w:rsidRPr="00B27E9D">
        <w:rPr>
          <w:bCs/>
          <w:lang w:val="fr-FR"/>
        </w:rPr>
        <w:t>87(2-3)</w:t>
      </w:r>
      <w:r w:rsidR="007329E3" w:rsidRPr="00B27E9D">
        <w:rPr>
          <w:lang w:val="fr-FR"/>
        </w:rPr>
        <w:t>,</w:t>
      </w:r>
      <w:r w:rsidR="00B27E9D">
        <w:rPr>
          <w:lang w:val="fr-FR"/>
        </w:rPr>
        <w:t>pp.</w:t>
      </w:r>
      <w:r w:rsidR="007329E3" w:rsidRPr="00A35671">
        <w:rPr>
          <w:lang w:val="fr-FR"/>
        </w:rPr>
        <w:t>215-20</w:t>
      </w:r>
      <w:r w:rsidR="00B27E9D">
        <w:rPr>
          <w:lang w:val="fr-FR"/>
        </w:rPr>
        <w:t xml:space="preserve">, </w:t>
      </w:r>
      <w:r w:rsidR="00B27E9D" w:rsidRPr="009D7397">
        <w:t>2003</w:t>
      </w:r>
      <w:r w:rsidR="007329E3" w:rsidRPr="00A35671">
        <w:rPr>
          <w:lang w:val="fr-FR"/>
        </w:rPr>
        <w:t>.</w:t>
      </w:r>
    </w:p>
    <w:p w:rsidR="007329E3" w:rsidRPr="009D7397" w:rsidRDefault="006F4009" w:rsidP="006F4009">
      <w:pPr>
        <w:pStyle w:val="IEEEReferenceItem"/>
        <w:numPr>
          <w:ilvl w:val="0"/>
          <w:numId w:val="0"/>
        </w:numPr>
        <w:ind w:left="432" w:hanging="432"/>
      </w:pPr>
      <w:r>
        <w:t xml:space="preserve">[10]   </w:t>
      </w:r>
      <w:r w:rsidR="00B27E9D">
        <w:t xml:space="preserve">L. </w:t>
      </w:r>
      <w:r w:rsidR="007329E3" w:rsidRPr="009D7397">
        <w:t>R</w:t>
      </w:r>
      <w:r w:rsidR="00B27E9D">
        <w:t>iahi</w:t>
      </w:r>
      <w:r w:rsidR="007329E3" w:rsidRPr="009D7397">
        <w:t>,</w:t>
      </w:r>
      <w:r w:rsidR="00B27E9D">
        <w:t xml:space="preserve"> H.</w:t>
      </w:r>
      <w:r w:rsidR="007329E3" w:rsidRPr="009D7397">
        <w:t>C</w:t>
      </w:r>
      <w:r w:rsidR="00B27E9D">
        <w:t>hograni</w:t>
      </w:r>
      <w:r w:rsidR="007329E3" w:rsidRPr="009D7397">
        <w:t xml:space="preserve">, </w:t>
      </w:r>
      <w:r w:rsidR="00B27E9D">
        <w:t xml:space="preserve">M. </w:t>
      </w:r>
      <w:r w:rsidR="007329E3" w:rsidRPr="009D7397">
        <w:t>E</w:t>
      </w:r>
      <w:r w:rsidR="00B27E9D">
        <w:t>lferchichi</w:t>
      </w:r>
      <w:r w:rsidR="007329E3" w:rsidRPr="009D7397">
        <w:t xml:space="preserve">, </w:t>
      </w:r>
      <w:r w:rsidR="00B27E9D">
        <w:t xml:space="preserve">Y. </w:t>
      </w:r>
      <w:r w:rsidR="007329E3" w:rsidRPr="009D7397">
        <w:t>Z</w:t>
      </w:r>
      <w:r w:rsidR="00B27E9D">
        <w:t>aouali</w:t>
      </w:r>
      <w:r w:rsidR="007329E3" w:rsidRPr="009D7397">
        <w:t xml:space="preserve">, </w:t>
      </w:r>
      <w:r w:rsidR="00B27E9D">
        <w:t xml:space="preserve">A. </w:t>
      </w:r>
      <w:r w:rsidR="007329E3" w:rsidRPr="009D7397">
        <w:t>Z</w:t>
      </w:r>
      <w:r w:rsidR="00B27E9D">
        <w:t>oghlami, A.</w:t>
      </w:r>
      <w:r w:rsidR="007329E3" w:rsidRPr="009D7397">
        <w:t>M</w:t>
      </w:r>
      <w:r w:rsidR="00B27E9D">
        <w:t>liki</w:t>
      </w:r>
      <w:r w:rsidR="007329E3" w:rsidRPr="009D7397">
        <w:t xml:space="preserve">. </w:t>
      </w:r>
      <w:r w:rsidR="00B27E9D">
        <w:t>“</w:t>
      </w:r>
      <w:r w:rsidR="007329E3" w:rsidRPr="009D7397">
        <w:t>Variations in Tunisian wormwood essential oil profiles and phenolic content between leaves and flowers and their effects on antioxidant activities</w:t>
      </w:r>
      <w:r w:rsidR="00B27E9D">
        <w:t>”</w:t>
      </w:r>
      <w:r w:rsidR="007329E3" w:rsidRPr="009D7397">
        <w:t>.</w:t>
      </w:r>
      <w:r w:rsidR="007329E3" w:rsidRPr="009D7397">
        <w:rPr>
          <w:i/>
          <w:iCs/>
        </w:rPr>
        <w:t>Industrial Crops and Products</w:t>
      </w:r>
      <w:r w:rsidR="007329E3" w:rsidRPr="009D7397">
        <w:t xml:space="preserve">, </w:t>
      </w:r>
      <w:r w:rsidR="00B27E9D">
        <w:t>Vol.</w:t>
      </w:r>
      <w:r w:rsidR="007329E3" w:rsidRPr="00B27E9D">
        <w:rPr>
          <w:bCs/>
        </w:rPr>
        <w:t>46</w:t>
      </w:r>
      <w:r w:rsidR="007329E3" w:rsidRPr="009D7397">
        <w:t xml:space="preserve">, </w:t>
      </w:r>
      <w:r w:rsidR="00B27E9D">
        <w:t>pp.</w:t>
      </w:r>
      <w:r w:rsidR="007329E3" w:rsidRPr="009D7397">
        <w:t>290–296</w:t>
      </w:r>
      <w:r w:rsidR="00B27E9D">
        <w:t xml:space="preserve">, </w:t>
      </w:r>
      <w:r w:rsidR="00B27E9D" w:rsidRPr="009D7397">
        <w:t>2013</w:t>
      </w:r>
      <w:r w:rsidR="007329E3" w:rsidRPr="009D7397">
        <w:t>.</w:t>
      </w:r>
    </w:p>
    <w:p w:rsidR="007329E3" w:rsidRPr="009D7397" w:rsidRDefault="006F4009" w:rsidP="006F4009">
      <w:pPr>
        <w:pStyle w:val="IEEEReferenceItem"/>
        <w:numPr>
          <w:ilvl w:val="0"/>
          <w:numId w:val="0"/>
        </w:numPr>
        <w:ind w:left="432" w:hanging="432"/>
      </w:pPr>
      <w:r>
        <w:t xml:space="preserve">[11]  </w:t>
      </w:r>
      <w:r w:rsidR="00B27E9D">
        <w:t>A. G.</w:t>
      </w:r>
      <w:r w:rsidR="007329E3" w:rsidRPr="009D7397">
        <w:t>P</w:t>
      </w:r>
      <w:r w:rsidR="00B27E9D">
        <w:t>irbaloutia</w:t>
      </w:r>
      <w:r w:rsidR="007329E3" w:rsidRPr="009D7397">
        <w:t xml:space="preserve">, </w:t>
      </w:r>
      <w:r w:rsidR="00B27E9D">
        <w:t xml:space="preserve">M. </w:t>
      </w:r>
      <w:r w:rsidR="007329E3" w:rsidRPr="009D7397">
        <w:t>F</w:t>
      </w:r>
      <w:r w:rsidR="00B27E9D">
        <w:t>iroznezhad</w:t>
      </w:r>
      <w:r w:rsidR="007329E3" w:rsidRPr="009D7397">
        <w:t xml:space="preserve">, </w:t>
      </w:r>
      <w:r w:rsidR="00B27E9D">
        <w:t xml:space="preserve">L. </w:t>
      </w:r>
      <w:r w:rsidR="007329E3" w:rsidRPr="009D7397">
        <w:t>C</w:t>
      </w:r>
      <w:r w:rsidR="00B27E9D">
        <w:t>rakerb</w:t>
      </w:r>
      <w:r w:rsidR="007329E3" w:rsidRPr="009D7397">
        <w:t xml:space="preserve">, </w:t>
      </w:r>
      <w:r w:rsidR="00B27E9D">
        <w:t xml:space="preserve">M. </w:t>
      </w:r>
      <w:r w:rsidR="007329E3" w:rsidRPr="009D7397">
        <w:t>A</w:t>
      </w:r>
      <w:r w:rsidR="00B27E9D">
        <w:t>kbarzadeh</w:t>
      </w:r>
      <w:r w:rsidR="007329E3" w:rsidRPr="009D7397">
        <w:t xml:space="preserve">. </w:t>
      </w:r>
      <w:r w:rsidR="00B27E9D">
        <w:t>“</w:t>
      </w:r>
      <w:r w:rsidR="007329E3" w:rsidRPr="009D7397">
        <w:t>Essential oil    compositions, antibacterial and antioxidant activities of various populations of Artemisia chamaemelifolia at two phenological stages</w:t>
      </w:r>
      <w:r w:rsidR="00B27E9D">
        <w:t>”</w:t>
      </w:r>
      <w:r w:rsidR="007329E3" w:rsidRPr="009D7397">
        <w:t>.</w:t>
      </w:r>
      <w:r w:rsidR="007329E3" w:rsidRPr="009D7397">
        <w:rPr>
          <w:i/>
          <w:iCs/>
        </w:rPr>
        <w:t>Rev Bras Farmacogn</w:t>
      </w:r>
      <w:r w:rsidR="007329E3" w:rsidRPr="009D7397">
        <w:t xml:space="preserve">, </w:t>
      </w:r>
      <w:r w:rsidR="00B27E9D">
        <w:t>vol.</w:t>
      </w:r>
      <w:r w:rsidR="007329E3" w:rsidRPr="00B27E9D">
        <w:rPr>
          <w:bCs/>
        </w:rPr>
        <w:t>23</w:t>
      </w:r>
      <w:r w:rsidR="007329E3" w:rsidRPr="009D7397">
        <w:t xml:space="preserve">, </w:t>
      </w:r>
      <w:r w:rsidR="00B27E9D">
        <w:t>pp.</w:t>
      </w:r>
      <w:r w:rsidR="007329E3" w:rsidRPr="009D7397">
        <w:t>861-869</w:t>
      </w:r>
      <w:r w:rsidR="00B27E9D">
        <w:t>,</w:t>
      </w:r>
      <w:r w:rsidR="00B27E9D" w:rsidRPr="009D7397">
        <w:t>2013</w:t>
      </w:r>
      <w:r w:rsidR="007329E3" w:rsidRPr="009D7397">
        <w:t>.</w:t>
      </w:r>
    </w:p>
    <w:p w:rsidR="007329E3" w:rsidRPr="009D7397" w:rsidRDefault="006F4009" w:rsidP="006F4009">
      <w:pPr>
        <w:pStyle w:val="IEEEReferenceItem"/>
        <w:numPr>
          <w:ilvl w:val="0"/>
          <w:numId w:val="0"/>
        </w:numPr>
        <w:ind w:left="432" w:hanging="432"/>
      </w:pPr>
      <w:r>
        <w:t xml:space="preserve">[12]  </w:t>
      </w:r>
      <w:r w:rsidR="008D2959">
        <w:t xml:space="preserve">B. </w:t>
      </w:r>
      <w:r w:rsidR="007329E3" w:rsidRPr="009D7397">
        <w:t>B</w:t>
      </w:r>
      <w:r w:rsidR="008D2959">
        <w:t>ozin</w:t>
      </w:r>
      <w:r w:rsidR="007329E3" w:rsidRPr="009D7397">
        <w:t xml:space="preserve">, </w:t>
      </w:r>
      <w:r w:rsidR="008D2959">
        <w:t xml:space="preserve">N. </w:t>
      </w:r>
      <w:r w:rsidR="007329E3" w:rsidRPr="009D7397">
        <w:t>M</w:t>
      </w:r>
      <w:r w:rsidR="008D2959">
        <w:t>imica</w:t>
      </w:r>
      <w:r w:rsidR="007329E3" w:rsidRPr="009D7397">
        <w:t>-D</w:t>
      </w:r>
      <w:r w:rsidR="008D2959">
        <w:t xml:space="preserve">ukicM. </w:t>
      </w:r>
      <w:r w:rsidR="007329E3" w:rsidRPr="009407F6">
        <w:rPr>
          <w:lang w:val="fr-FR"/>
        </w:rPr>
        <w:t>B</w:t>
      </w:r>
      <w:r w:rsidR="008D2959" w:rsidRPr="009407F6">
        <w:rPr>
          <w:lang w:val="fr-FR"/>
        </w:rPr>
        <w:t>ogavac</w:t>
      </w:r>
      <w:r w:rsidR="007329E3" w:rsidRPr="009407F6">
        <w:rPr>
          <w:lang w:val="fr-FR"/>
        </w:rPr>
        <w:t xml:space="preserve">, </w:t>
      </w:r>
      <w:r w:rsidR="008D2959" w:rsidRPr="009407F6">
        <w:rPr>
          <w:lang w:val="fr-FR"/>
        </w:rPr>
        <w:t xml:space="preserve">L. </w:t>
      </w:r>
      <w:r w:rsidR="007329E3" w:rsidRPr="009407F6">
        <w:rPr>
          <w:lang w:val="fr-FR"/>
        </w:rPr>
        <w:t>S</w:t>
      </w:r>
      <w:r w:rsidR="008D2959" w:rsidRPr="009407F6">
        <w:rPr>
          <w:lang w:val="fr-FR"/>
        </w:rPr>
        <w:t>uvajdzic</w:t>
      </w:r>
      <w:r w:rsidR="007329E3" w:rsidRPr="009407F6">
        <w:rPr>
          <w:lang w:val="fr-FR"/>
        </w:rPr>
        <w:t xml:space="preserve">, </w:t>
      </w:r>
      <w:r w:rsidR="008D2959" w:rsidRPr="009407F6">
        <w:rPr>
          <w:lang w:val="fr-FR"/>
        </w:rPr>
        <w:t xml:space="preserve">N. </w:t>
      </w:r>
      <w:r w:rsidR="007329E3" w:rsidRPr="009407F6">
        <w:rPr>
          <w:lang w:val="fr-FR"/>
        </w:rPr>
        <w:t>S</w:t>
      </w:r>
      <w:r w:rsidR="008D2959" w:rsidRPr="009407F6">
        <w:rPr>
          <w:lang w:val="fr-FR"/>
        </w:rPr>
        <w:t>imin</w:t>
      </w:r>
      <w:r w:rsidR="007329E3" w:rsidRPr="009407F6">
        <w:rPr>
          <w:lang w:val="fr-FR"/>
        </w:rPr>
        <w:t xml:space="preserve">, </w:t>
      </w:r>
      <w:r w:rsidR="008D2959" w:rsidRPr="009407F6">
        <w:rPr>
          <w:lang w:val="fr-FR"/>
        </w:rPr>
        <w:t xml:space="preserve">I. </w:t>
      </w:r>
      <w:r w:rsidR="007329E3" w:rsidRPr="009407F6">
        <w:rPr>
          <w:lang w:val="fr-FR"/>
        </w:rPr>
        <w:t>S</w:t>
      </w:r>
      <w:r w:rsidR="008D2959" w:rsidRPr="009407F6">
        <w:rPr>
          <w:lang w:val="fr-FR"/>
        </w:rPr>
        <w:t>amojlik</w:t>
      </w:r>
      <w:r w:rsidR="007329E3" w:rsidRPr="009407F6">
        <w:rPr>
          <w:lang w:val="fr-FR"/>
        </w:rPr>
        <w:t xml:space="preserve">, </w:t>
      </w:r>
      <w:r w:rsidR="008D2959" w:rsidRPr="009407F6">
        <w:rPr>
          <w:lang w:val="fr-FR"/>
        </w:rPr>
        <w:t xml:space="preserve">M. </w:t>
      </w:r>
      <w:r w:rsidR="007329E3" w:rsidRPr="009407F6">
        <w:rPr>
          <w:lang w:val="fr-FR"/>
        </w:rPr>
        <w:t>C</w:t>
      </w:r>
      <w:r w:rsidR="008D2959" w:rsidRPr="009407F6">
        <w:rPr>
          <w:lang w:val="fr-FR"/>
        </w:rPr>
        <w:t>oulais</w:t>
      </w:r>
      <w:r w:rsidR="007329E3" w:rsidRPr="009407F6">
        <w:rPr>
          <w:lang w:val="fr-FR"/>
        </w:rPr>
        <w:t xml:space="preserve">. </w:t>
      </w:r>
      <w:r w:rsidR="008D2959">
        <w:t>“</w:t>
      </w:r>
      <w:r w:rsidR="007329E3" w:rsidRPr="009D7397">
        <w:t>Chemical Composition, Antioxidant and Antibacterial Properties of Achilleacollina Becker ex Heimerls.l. and A. pannonica Scheele Essential oils</w:t>
      </w:r>
      <w:r w:rsidR="008D2959">
        <w:t>”</w:t>
      </w:r>
      <w:r w:rsidR="007329E3" w:rsidRPr="009D7397">
        <w:t>.</w:t>
      </w:r>
      <w:r w:rsidR="007329E3" w:rsidRPr="009D7397">
        <w:rPr>
          <w:i/>
          <w:iCs/>
        </w:rPr>
        <w:t>Molecules</w:t>
      </w:r>
      <w:r w:rsidR="007329E3" w:rsidRPr="009D7397">
        <w:t xml:space="preserve">, </w:t>
      </w:r>
      <w:r w:rsidR="008D2959">
        <w:t>vol.</w:t>
      </w:r>
      <w:r w:rsidR="007329E3" w:rsidRPr="008D2959">
        <w:rPr>
          <w:bCs/>
        </w:rPr>
        <w:t>13</w:t>
      </w:r>
      <w:r w:rsidR="007329E3" w:rsidRPr="009D7397">
        <w:t xml:space="preserve">, </w:t>
      </w:r>
      <w:r w:rsidR="008D2959">
        <w:t>pp.</w:t>
      </w:r>
      <w:r w:rsidR="007329E3" w:rsidRPr="009D7397">
        <w:t>2058-2068</w:t>
      </w:r>
      <w:r w:rsidR="008D2959">
        <w:t xml:space="preserve">, </w:t>
      </w:r>
      <w:r w:rsidR="008D2959" w:rsidRPr="009D7397">
        <w:t>2008</w:t>
      </w:r>
      <w:r w:rsidR="007329E3" w:rsidRPr="009D7397">
        <w:t>.</w:t>
      </w:r>
    </w:p>
    <w:p w:rsidR="007329E3" w:rsidRPr="009D7397" w:rsidRDefault="006F4009" w:rsidP="006F4009">
      <w:pPr>
        <w:pStyle w:val="IEEEReferenceItem"/>
        <w:numPr>
          <w:ilvl w:val="0"/>
          <w:numId w:val="0"/>
        </w:numPr>
        <w:ind w:left="432" w:hanging="432"/>
      </w:pPr>
      <w:r>
        <w:t xml:space="preserve">[13]   </w:t>
      </w:r>
      <w:r w:rsidR="008D2959" w:rsidRPr="009D7397">
        <w:t>B.</w:t>
      </w:r>
      <w:r w:rsidR="007329E3" w:rsidRPr="009D7397">
        <w:t>B</w:t>
      </w:r>
      <w:r w:rsidR="008D2959">
        <w:t>akchiche</w:t>
      </w:r>
      <w:r w:rsidR="007329E3" w:rsidRPr="009D7397">
        <w:t xml:space="preserve">, </w:t>
      </w:r>
      <w:r w:rsidR="008D2959">
        <w:t xml:space="preserve">A. </w:t>
      </w:r>
      <w:r w:rsidR="007329E3" w:rsidRPr="009D7397">
        <w:t>G</w:t>
      </w:r>
      <w:r w:rsidR="008D2959">
        <w:t>herib</w:t>
      </w:r>
      <w:r w:rsidR="007329E3" w:rsidRPr="009D7397">
        <w:t xml:space="preserve">, </w:t>
      </w:r>
      <w:r w:rsidR="008D2959">
        <w:t xml:space="preserve">A. </w:t>
      </w:r>
      <w:r w:rsidR="007329E3" w:rsidRPr="009D7397">
        <w:t>S</w:t>
      </w:r>
      <w:r w:rsidR="008D2959">
        <w:t>mail</w:t>
      </w:r>
      <w:r w:rsidR="007329E3" w:rsidRPr="009D7397">
        <w:t xml:space="preserve">, </w:t>
      </w:r>
      <w:r w:rsidR="008D2959">
        <w:t xml:space="preserve">G. </w:t>
      </w:r>
      <w:r w:rsidR="007329E3" w:rsidRPr="009D7397">
        <w:t>C</w:t>
      </w:r>
      <w:r w:rsidR="008D2959">
        <w:t>ustodia</w:t>
      </w:r>
      <w:r w:rsidR="007329E3" w:rsidRPr="009D7397">
        <w:t xml:space="preserve">, </w:t>
      </w:r>
      <w:r w:rsidR="008D2959">
        <w:t xml:space="preserve">M. </w:t>
      </w:r>
      <w:r w:rsidR="007329E3" w:rsidRPr="009D7397">
        <w:t>G</w:t>
      </w:r>
      <w:r w:rsidR="008D2959">
        <w:t>raca</w:t>
      </w:r>
      <w:r w:rsidR="007329E3" w:rsidRPr="009D7397">
        <w:t xml:space="preserve">. </w:t>
      </w:r>
      <w:r w:rsidR="008D2959">
        <w:t>“</w:t>
      </w:r>
      <w:r w:rsidR="007329E3" w:rsidRPr="009D7397">
        <w:t>Antioxidant activities of eight Algerian plant extracts and two essential oils</w:t>
      </w:r>
      <w:r w:rsidR="008D2959">
        <w:t>”</w:t>
      </w:r>
      <w:r w:rsidR="007329E3" w:rsidRPr="009D7397">
        <w:t>.</w:t>
      </w:r>
      <w:r w:rsidR="007329E3" w:rsidRPr="009D7397">
        <w:rPr>
          <w:i/>
          <w:iCs/>
        </w:rPr>
        <w:t>Industrial Crops and Products</w:t>
      </w:r>
      <w:r w:rsidR="007329E3" w:rsidRPr="009D7397">
        <w:t xml:space="preserve">, </w:t>
      </w:r>
      <w:r w:rsidR="008D2959">
        <w:t>vol.</w:t>
      </w:r>
      <w:r w:rsidR="007329E3" w:rsidRPr="008D2959">
        <w:rPr>
          <w:bCs/>
        </w:rPr>
        <w:t>46</w:t>
      </w:r>
      <w:r w:rsidR="007329E3" w:rsidRPr="009D7397">
        <w:t xml:space="preserve">, </w:t>
      </w:r>
      <w:r w:rsidR="008D2959">
        <w:t>pp.</w:t>
      </w:r>
      <w:r w:rsidR="007329E3" w:rsidRPr="009D7397">
        <w:t>85–96</w:t>
      </w:r>
      <w:r w:rsidR="008D2959">
        <w:t xml:space="preserve">, </w:t>
      </w:r>
      <w:r w:rsidR="008D2959" w:rsidRPr="009D7397">
        <w:t>2013</w:t>
      </w:r>
      <w:r w:rsidR="007329E3" w:rsidRPr="009D7397">
        <w:t>.</w:t>
      </w:r>
    </w:p>
    <w:p w:rsidR="007329E3" w:rsidRPr="009D7397" w:rsidRDefault="006F4009" w:rsidP="006F4009">
      <w:pPr>
        <w:pStyle w:val="IEEEReferenceItem"/>
        <w:numPr>
          <w:ilvl w:val="0"/>
          <w:numId w:val="0"/>
        </w:numPr>
        <w:ind w:left="432" w:hanging="432"/>
      </w:pPr>
      <w:r>
        <w:t xml:space="preserve">[14] </w:t>
      </w:r>
      <w:r w:rsidR="008D2959">
        <w:t xml:space="preserve">F. </w:t>
      </w:r>
      <w:r w:rsidR="007329E3" w:rsidRPr="009D7397">
        <w:t>A</w:t>
      </w:r>
      <w:r w:rsidR="008D2959">
        <w:t>youghi</w:t>
      </w:r>
      <w:r w:rsidR="007329E3" w:rsidRPr="009D7397">
        <w:t xml:space="preserve">, </w:t>
      </w:r>
      <w:r w:rsidR="008D2959">
        <w:t xml:space="preserve">M. </w:t>
      </w:r>
      <w:r w:rsidR="007329E3" w:rsidRPr="009D7397">
        <w:t>B</w:t>
      </w:r>
      <w:r w:rsidR="008D2959">
        <w:t>arzegar, M.A. Sahari</w:t>
      </w:r>
      <w:r w:rsidR="007329E3" w:rsidRPr="009D7397">
        <w:t xml:space="preserve">, </w:t>
      </w:r>
      <w:r w:rsidR="008D2959">
        <w:t xml:space="preserve">H. </w:t>
      </w:r>
      <w:r w:rsidR="007329E3" w:rsidRPr="009D7397">
        <w:t>N</w:t>
      </w:r>
      <w:r w:rsidR="008D2959">
        <w:t>aghdibadi</w:t>
      </w:r>
      <w:r w:rsidR="007329E3" w:rsidRPr="009D7397">
        <w:t>.</w:t>
      </w:r>
      <w:r w:rsidR="008D2959">
        <w:t>“</w:t>
      </w:r>
      <w:r w:rsidR="007329E3" w:rsidRPr="009D7397">
        <w:t>Chemical Compositions of Essential Oils of Artemisia dracunculus L. and Endemic Matricariachamomilla L. and an Evaluation of their Antioxidative Effects</w:t>
      </w:r>
      <w:r w:rsidR="008D2959">
        <w:t>”</w:t>
      </w:r>
      <w:r w:rsidR="007329E3" w:rsidRPr="009D7397">
        <w:t>.</w:t>
      </w:r>
      <w:r w:rsidR="007329E3" w:rsidRPr="009D7397">
        <w:rPr>
          <w:i/>
          <w:iCs/>
        </w:rPr>
        <w:t>J. Agr. Sci. Tech</w:t>
      </w:r>
      <w:r w:rsidR="008D2959">
        <w:t>.</w:t>
      </w:r>
      <w:r w:rsidR="008D2959">
        <w:rPr>
          <w:b/>
          <w:bCs/>
        </w:rPr>
        <w:t>,</w:t>
      </w:r>
      <w:r w:rsidR="008D2959" w:rsidRPr="008D2959">
        <w:rPr>
          <w:bCs/>
        </w:rPr>
        <w:t xml:space="preserve"> vol.13</w:t>
      </w:r>
      <w:r w:rsidR="007329E3" w:rsidRPr="009D7397">
        <w:t xml:space="preserve">, </w:t>
      </w:r>
      <w:r w:rsidR="008D2959">
        <w:t>pp.</w:t>
      </w:r>
      <w:r w:rsidR="007329E3" w:rsidRPr="009D7397">
        <w:t>79-88</w:t>
      </w:r>
      <w:r w:rsidR="008D2959">
        <w:t xml:space="preserve">, </w:t>
      </w:r>
      <w:r w:rsidR="008D2959" w:rsidRPr="009D7397">
        <w:t>2011</w:t>
      </w:r>
      <w:r w:rsidR="007329E3" w:rsidRPr="009D7397">
        <w:t>.</w:t>
      </w:r>
    </w:p>
    <w:p w:rsidR="007329E3" w:rsidRPr="00636741" w:rsidRDefault="006F4009" w:rsidP="006F4009">
      <w:pPr>
        <w:pStyle w:val="IEEEReferenceItem"/>
        <w:numPr>
          <w:ilvl w:val="0"/>
          <w:numId w:val="0"/>
        </w:numPr>
        <w:ind w:left="432" w:hanging="432"/>
      </w:pPr>
      <w:r>
        <w:lastRenderedPageBreak/>
        <w:t xml:space="preserve">[15] </w:t>
      </w:r>
      <w:r w:rsidR="008D2959">
        <w:t xml:space="preserve">M. </w:t>
      </w:r>
      <w:r w:rsidR="007329E3" w:rsidRPr="00636741">
        <w:t>J</w:t>
      </w:r>
      <w:r w:rsidR="008D2959">
        <w:t>uan</w:t>
      </w:r>
      <w:r w:rsidR="007329E3" w:rsidRPr="00636741">
        <w:t>-B</w:t>
      </w:r>
      <w:r w:rsidR="008D2959">
        <w:t>adaturuge</w:t>
      </w:r>
      <w:r w:rsidR="007329E3" w:rsidRPr="00636741">
        <w:t xml:space="preserve">, </w:t>
      </w:r>
      <w:r w:rsidR="008D2959">
        <w:t xml:space="preserve">S. </w:t>
      </w:r>
      <w:r w:rsidR="007329E3" w:rsidRPr="00636741">
        <w:t>H</w:t>
      </w:r>
      <w:r w:rsidR="008D2959">
        <w:t>abtemariam</w:t>
      </w:r>
      <w:r w:rsidR="007329E3" w:rsidRPr="00636741">
        <w:t>,</w:t>
      </w:r>
      <w:r w:rsidR="00546138">
        <w:t xml:space="preserve"> C.</w:t>
      </w:r>
      <w:r w:rsidR="007329E3" w:rsidRPr="00636741">
        <w:t xml:space="preserve"> J</w:t>
      </w:r>
      <w:r w:rsidR="00546138">
        <w:t>ackson</w:t>
      </w:r>
      <w:r w:rsidR="007329E3" w:rsidRPr="00636741">
        <w:t xml:space="preserve">, </w:t>
      </w:r>
      <w:r w:rsidR="00546138">
        <w:t xml:space="preserve">M.J. </w:t>
      </w:r>
      <w:r w:rsidR="007329E3" w:rsidRPr="00636741">
        <w:t>T</w:t>
      </w:r>
      <w:r w:rsidR="00546138">
        <w:t>homas</w:t>
      </w:r>
      <w:r w:rsidR="007329E3" w:rsidRPr="00636741">
        <w:t>.</w:t>
      </w:r>
      <w:r w:rsidR="00546138">
        <w:t xml:space="preserve"> “</w:t>
      </w:r>
      <w:r w:rsidR="007329E3" w:rsidRPr="00636741">
        <w:t>Antioxidant principles of Tanacetumvulgare L. aerial parts</w:t>
      </w:r>
      <w:r w:rsidR="00546138">
        <w:t>”.</w:t>
      </w:r>
      <w:r w:rsidR="007329E3" w:rsidRPr="00636741">
        <w:rPr>
          <w:i/>
          <w:iCs/>
        </w:rPr>
        <w:t>. Nat Prod Commun</w:t>
      </w:r>
      <w:r w:rsidR="007329E3" w:rsidRPr="00636741">
        <w:t>.</w:t>
      </w:r>
      <w:r w:rsidR="00546138">
        <w:t>, vol.</w:t>
      </w:r>
      <w:r w:rsidR="007329E3" w:rsidRPr="00546138">
        <w:rPr>
          <w:bCs/>
        </w:rPr>
        <w:t>4 (11</w:t>
      </w:r>
      <w:r w:rsidR="00546138">
        <w:rPr>
          <w:b/>
          <w:bCs/>
        </w:rPr>
        <w:t>)</w:t>
      </w:r>
      <w:r w:rsidR="007329E3" w:rsidRPr="00636741">
        <w:t xml:space="preserve">, </w:t>
      </w:r>
      <w:r w:rsidR="00546138">
        <w:t>pp.</w:t>
      </w:r>
      <w:r w:rsidR="007329E3" w:rsidRPr="00636741">
        <w:t>1561-</w:t>
      </w:r>
      <w:r w:rsidR="007329E3">
        <w:t xml:space="preserve"> 156</w:t>
      </w:r>
      <w:r w:rsidR="007329E3" w:rsidRPr="00636741">
        <w:t>4</w:t>
      </w:r>
      <w:r w:rsidR="00546138">
        <w:t>,</w:t>
      </w:r>
      <w:r w:rsidR="00546138" w:rsidRPr="00636741">
        <w:t>2009</w:t>
      </w:r>
      <w:r w:rsidR="007329E3" w:rsidRPr="00636741">
        <w:t>.</w:t>
      </w:r>
    </w:p>
    <w:p w:rsidR="007329E3" w:rsidRDefault="006F4009" w:rsidP="006F4009">
      <w:pPr>
        <w:pStyle w:val="IEEEReferenceItem"/>
        <w:numPr>
          <w:ilvl w:val="0"/>
          <w:numId w:val="0"/>
        </w:numPr>
        <w:ind w:left="432" w:hanging="432"/>
      </w:pPr>
      <w:r>
        <w:rPr>
          <w:lang w:val="fr-FR"/>
        </w:rPr>
        <w:t xml:space="preserve">[16] </w:t>
      </w:r>
      <w:r w:rsidR="00546138">
        <w:rPr>
          <w:lang w:val="fr-FR"/>
        </w:rPr>
        <w:t xml:space="preserve">M. </w:t>
      </w:r>
      <w:r w:rsidR="007329E3" w:rsidRPr="00774D56">
        <w:rPr>
          <w:lang w:val="fr-FR"/>
        </w:rPr>
        <w:t>M</w:t>
      </w:r>
      <w:r w:rsidR="00546138">
        <w:rPr>
          <w:lang w:val="fr-FR"/>
        </w:rPr>
        <w:t>azandarani</w:t>
      </w:r>
      <w:r w:rsidR="007329E3" w:rsidRPr="00774D56">
        <w:rPr>
          <w:lang w:val="fr-FR"/>
        </w:rPr>
        <w:t xml:space="preserve">, </w:t>
      </w:r>
      <w:r w:rsidR="00546138">
        <w:rPr>
          <w:lang w:val="fr-FR"/>
        </w:rPr>
        <w:t xml:space="preserve">M. </w:t>
      </w:r>
      <w:r w:rsidR="007329E3" w:rsidRPr="00774D56">
        <w:rPr>
          <w:lang w:val="fr-FR"/>
        </w:rPr>
        <w:t>G</w:t>
      </w:r>
      <w:r w:rsidR="00546138">
        <w:rPr>
          <w:lang w:val="fr-FR"/>
        </w:rPr>
        <w:t>hafourian</w:t>
      </w:r>
      <w:r w:rsidR="007329E3" w:rsidRPr="00774D56">
        <w:rPr>
          <w:lang w:val="fr-FR"/>
        </w:rPr>
        <w:t xml:space="preserve">, </w:t>
      </w:r>
      <w:r w:rsidR="00546138">
        <w:rPr>
          <w:lang w:val="fr-FR"/>
        </w:rPr>
        <w:t xml:space="preserve">A. </w:t>
      </w:r>
      <w:r w:rsidR="007329E3" w:rsidRPr="00774D56">
        <w:rPr>
          <w:lang w:val="fr-FR"/>
        </w:rPr>
        <w:t>K</w:t>
      </w:r>
      <w:r w:rsidR="00546138">
        <w:rPr>
          <w:lang w:val="fr-FR"/>
        </w:rPr>
        <w:t>hormali</w:t>
      </w:r>
      <w:r w:rsidR="007329E3" w:rsidRPr="00774D56">
        <w:rPr>
          <w:lang w:val="fr-FR"/>
        </w:rPr>
        <w:t xml:space="preserve">. </w:t>
      </w:r>
      <w:r w:rsidR="00546138" w:rsidRPr="009407F6">
        <w:t>« </w:t>
      </w:r>
      <w:r w:rsidR="007329E3" w:rsidRPr="009D7397">
        <w:t>Ethnopharmacology, Antibacterial and Antioxidant Activity of Dittrichiagraveolens (L.) W. Greuter. Which Has Been Used as Remedies Antirheumatic, Anti-inflammation and Antiinfection against Leishmaniasis in the Traditional Medicine of Gorgan, Iran</w:t>
      </w:r>
      <w:r w:rsidR="00546138">
        <w:t>”</w:t>
      </w:r>
      <w:r w:rsidR="007329E3" w:rsidRPr="009D7397">
        <w:t>.</w:t>
      </w:r>
      <w:r w:rsidR="007329E3" w:rsidRPr="009D7397">
        <w:rPr>
          <w:i/>
          <w:iCs/>
        </w:rPr>
        <w:t>Crescent Journal of Medical and Biological Sciences,</w:t>
      </w:r>
      <w:r w:rsidR="00546138">
        <w:t>vol.</w:t>
      </w:r>
      <w:r w:rsidR="007329E3" w:rsidRPr="00546138">
        <w:rPr>
          <w:bCs/>
        </w:rPr>
        <w:t>1(4)</w:t>
      </w:r>
      <w:r w:rsidR="007329E3" w:rsidRPr="00546138">
        <w:t>,</w:t>
      </w:r>
      <w:r w:rsidR="00546138">
        <w:t>pp.</w:t>
      </w:r>
      <w:r w:rsidR="007329E3" w:rsidRPr="009D7397">
        <w:t>125-129</w:t>
      </w:r>
      <w:r w:rsidR="00546138">
        <w:t>,</w:t>
      </w:r>
      <w:r w:rsidR="00546138" w:rsidRPr="009407F6">
        <w:t>2014</w:t>
      </w:r>
      <w:r w:rsidR="007329E3" w:rsidRPr="009D7397">
        <w:t>.</w:t>
      </w:r>
    </w:p>
    <w:p w:rsidR="007329E3" w:rsidRDefault="006F4009" w:rsidP="006F4009">
      <w:pPr>
        <w:pStyle w:val="IEEEReferenceItem"/>
        <w:numPr>
          <w:ilvl w:val="0"/>
          <w:numId w:val="0"/>
        </w:numPr>
        <w:ind w:left="432" w:hanging="432"/>
      </w:pPr>
      <w:r>
        <w:t xml:space="preserve">[17]  </w:t>
      </w:r>
      <w:r w:rsidR="00546138">
        <w:t xml:space="preserve">M. </w:t>
      </w:r>
      <w:r w:rsidR="007329E3" w:rsidRPr="009D7397">
        <w:t>V</w:t>
      </w:r>
      <w:r w:rsidR="00546138">
        <w:t>anessa, M. Munhoz, R. Longhini, J. R.P. Souza, J..C. Zequi, E.V.S. L</w:t>
      </w:r>
      <w:r w:rsidR="00F65585">
        <w:t>eite</w:t>
      </w:r>
      <w:r w:rsidR="00546138">
        <w:t xml:space="preserve"> M</w:t>
      </w:r>
      <w:r w:rsidR="00F65585">
        <w:t>ello</w:t>
      </w:r>
      <w:r w:rsidR="00546138">
        <w:t>, G. C. L</w:t>
      </w:r>
      <w:r w:rsidR="00F65585">
        <w:t>opes</w:t>
      </w:r>
      <w:r w:rsidR="00546138">
        <w:t>, J.</w:t>
      </w:r>
      <w:r w:rsidR="007329E3" w:rsidRPr="009D7397">
        <w:t xml:space="preserve"> C.P. M</w:t>
      </w:r>
      <w:r w:rsidR="00F65585">
        <w:t>ello</w:t>
      </w:r>
      <w:r w:rsidR="007329E3" w:rsidRPr="009D7397">
        <w:t xml:space="preserve">. </w:t>
      </w:r>
      <w:r w:rsidR="00F65585">
        <w:t>“</w:t>
      </w:r>
      <w:r w:rsidR="007329E3" w:rsidRPr="009D7397">
        <w:t>Extraction of flavonoids from Tagetespatula: process optimization and screening for biological activity</w:t>
      </w:r>
      <w:r w:rsidR="00F65585">
        <w:t>”</w:t>
      </w:r>
      <w:r w:rsidR="007329E3" w:rsidRPr="009D7397">
        <w:t xml:space="preserve">. </w:t>
      </w:r>
      <w:r w:rsidR="007329E3" w:rsidRPr="009D7397">
        <w:rPr>
          <w:i/>
          <w:iCs/>
        </w:rPr>
        <w:t>Rev Bras Farmacogn</w:t>
      </w:r>
      <w:r w:rsidR="007329E3" w:rsidRPr="009D7397">
        <w:t xml:space="preserve">, </w:t>
      </w:r>
      <w:r w:rsidR="00F65585">
        <w:t>vol.</w:t>
      </w:r>
      <w:r w:rsidR="007329E3" w:rsidRPr="00F65585">
        <w:rPr>
          <w:bCs/>
        </w:rPr>
        <w:t>24</w:t>
      </w:r>
      <w:r w:rsidR="007329E3" w:rsidRPr="009D7397">
        <w:t>,</w:t>
      </w:r>
      <w:r w:rsidR="00F65585">
        <w:t xml:space="preserve"> pp.</w:t>
      </w:r>
      <w:r w:rsidR="007329E3" w:rsidRPr="009D7397">
        <w:t>576-583</w:t>
      </w:r>
      <w:r w:rsidR="00546138">
        <w:t xml:space="preserve">, </w:t>
      </w:r>
      <w:r w:rsidR="00546138" w:rsidRPr="009D7397">
        <w:t>2014</w:t>
      </w:r>
      <w:r w:rsidR="007329E3" w:rsidRPr="009D7397">
        <w:t>.</w:t>
      </w:r>
    </w:p>
    <w:p w:rsidR="007329E3" w:rsidRPr="009D7397" w:rsidRDefault="006F4009" w:rsidP="006F4009">
      <w:pPr>
        <w:pStyle w:val="IEEEReferenceItem"/>
        <w:numPr>
          <w:ilvl w:val="0"/>
          <w:numId w:val="0"/>
        </w:numPr>
        <w:ind w:left="432" w:hanging="432"/>
      </w:pPr>
      <w:r>
        <w:t xml:space="preserve">[18]  </w:t>
      </w:r>
      <w:r w:rsidR="00F65585">
        <w:t xml:space="preserve">O. </w:t>
      </w:r>
      <w:r w:rsidR="007329E3" w:rsidRPr="009D7397">
        <w:t>K</w:t>
      </w:r>
      <w:r w:rsidR="00F65585">
        <w:t>enny</w:t>
      </w:r>
      <w:r w:rsidR="007329E3" w:rsidRPr="009D7397">
        <w:t xml:space="preserve">, </w:t>
      </w:r>
      <w:r w:rsidR="00F65585">
        <w:t xml:space="preserve">T.J. </w:t>
      </w:r>
      <w:r w:rsidR="007329E3" w:rsidRPr="009D7397">
        <w:t>S</w:t>
      </w:r>
      <w:r w:rsidR="00F65585">
        <w:t>myth</w:t>
      </w:r>
      <w:r w:rsidR="007329E3" w:rsidRPr="009D7397">
        <w:t xml:space="preserve">, </w:t>
      </w:r>
      <w:r w:rsidR="00F65585">
        <w:t xml:space="preserve">D. </w:t>
      </w:r>
      <w:r w:rsidR="007329E3" w:rsidRPr="009D7397">
        <w:t>W</w:t>
      </w:r>
      <w:r w:rsidR="00F65585">
        <w:t>alsh</w:t>
      </w:r>
      <w:r w:rsidR="007329E3" w:rsidRPr="009D7397">
        <w:t xml:space="preserve">, </w:t>
      </w:r>
      <w:r w:rsidR="00F65585">
        <w:t xml:space="preserve">C. T. </w:t>
      </w:r>
      <w:r w:rsidR="007329E3" w:rsidRPr="009D7397">
        <w:t>K</w:t>
      </w:r>
      <w:r w:rsidR="00F65585">
        <w:t>elleher</w:t>
      </w:r>
      <w:r w:rsidR="007329E3" w:rsidRPr="009D7397">
        <w:t xml:space="preserve">, </w:t>
      </w:r>
      <w:r w:rsidR="00F65585">
        <w:t xml:space="preserve">C.M. </w:t>
      </w:r>
      <w:r w:rsidR="007329E3" w:rsidRPr="009D7397">
        <w:t>H</w:t>
      </w:r>
      <w:r w:rsidR="00F65585">
        <w:t>ewage</w:t>
      </w:r>
      <w:r w:rsidR="007329E3" w:rsidRPr="009D7397">
        <w:t xml:space="preserve">, </w:t>
      </w:r>
      <w:r w:rsidR="00F65585">
        <w:t xml:space="preserve">N.P. </w:t>
      </w:r>
      <w:r w:rsidR="007329E3" w:rsidRPr="009D7397">
        <w:t>B</w:t>
      </w:r>
      <w:r w:rsidR="00F65585">
        <w:t>runton</w:t>
      </w:r>
      <w:r w:rsidR="007329E3" w:rsidRPr="009D7397">
        <w:t xml:space="preserve">. </w:t>
      </w:r>
      <w:r w:rsidR="00F65585">
        <w:t>“</w:t>
      </w:r>
      <w:r w:rsidR="007329E3" w:rsidRPr="009D7397">
        <w:t>Investigating the potential of under-utilised plants from the Asteraceae family as a source of natural antimicrobial and antioxidant extract</w:t>
      </w:r>
      <w:r w:rsidR="00F65585">
        <w:t>”</w:t>
      </w:r>
      <w:r w:rsidR="007329E3" w:rsidRPr="009D7397">
        <w:t>.</w:t>
      </w:r>
      <w:r w:rsidR="007329E3" w:rsidRPr="009D7397">
        <w:rPr>
          <w:i/>
          <w:iCs/>
        </w:rPr>
        <w:t>Food Chemistry</w:t>
      </w:r>
      <w:r w:rsidR="007329E3" w:rsidRPr="009D7397">
        <w:t xml:space="preserve">, </w:t>
      </w:r>
      <w:r w:rsidR="00F65585">
        <w:t>vol.</w:t>
      </w:r>
      <w:r w:rsidR="007329E3" w:rsidRPr="00F65585">
        <w:rPr>
          <w:bCs/>
        </w:rPr>
        <w:t>161</w:t>
      </w:r>
      <w:r w:rsidR="007329E3" w:rsidRPr="009D7397">
        <w:t xml:space="preserve">, </w:t>
      </w:r>
      <w:r w:rsidR="00F65585">
        <w:t>pp.</w:t>
      </w:r>
      <w:r w:rsidR="007329E3" w:rsidRPr="009D7397">
        <w:t>79–86</w:t>
      </w:r>
      <w:r w:rsidR="00F65585">
        <w:t>,</w:t>
      </w:r>
      <w:r w:rsidR="00F65585" w:rsidRPr="009D7397">
        <w:t xml:space="preserve"> 2014</w:t>
      </w:r>
      <w:r w:rsidR="007329E3" w:rsidRPr="009D7397">
        <w:t>.</w:t>
      </w:r>
    </w:p>
    <w:p w:rsidR="007329E3" w:rsidRPr="009D7397" w:rsidRDefault="006F4009" w:rsidP="006F4009">
      <w:pPr>
        <w:pStyle w:val="IEEEReferenceItem"/>
        <w:numPr>
          <w:ilvl w:val="0"/>
          <w:numId w:val="0"/>
        </w:numPr>
        <w:ind w:left="432" w:hanging="432"/>
      </w:pPr>
      <w:r>
        <w:t xml:space="preserve">[19]  </w:t>
      </w:r>
      <w:r w:rsidR="00CD7CCE">
        <w:t xml:space="preserve">I. </w:t>
      </w:r>
      <w:r w:rsidR="007329E3" w:rsidRPr="009D7397">
        <w:t>S</w:t>
      </w:r>
      <w:r w:rsidR="00CD7CCE">
        <w:t>tanisavljeviu</w:t>
      </w:r>
      <w:r w:rsidR="007329E3" w:rsidRPr="009D7397">
        <w:t xml:space="preserve">, </w:t>
      </w:r>
      <w:r w:rsidR="00CD7CCE">
        <w:t xml:space="preserve">S. </w:t>
      </w:r>
      <w:r w:rsidR="007329E3" w:rsidRPr="009D7397">
        <w:t>S</w:t>
      </w:r>
      <w:r w:rsidR="00CD7CCE">
        <w:t>toji</w:t>
      </w:r>
      <w:r w:rsidR="007329E3" w:rsidRPr="009D7397">
        <w:t>Þ</w:t>
      </w:r>
      <w:r w:rsidR="00CD7CCE">
        <w:t>eviu</w:t>
      </w:r>
      <w:r w:rsidR="007329E3" w:rsidRPr="009D7397">
        <w:t xml:space="preserve">, </w:t>
      </w:r>
      <w:r w:rsidR="00CD7CCE">
        <w:t xml:space="preserve">D. </w:t>
      </w:r>
      <w:r w:rsidR="007329E3" w:rsidRPr="009D7397">
        <w:t>V</w:t>
      </w:r>
      <w:r w:rsidR="00CD7CCE">
        <w:t>eli</w:t>
      </w:r>
      <w:r w:rsidR="007329E3" w:rsidRPr="009D7397">
        <w:t>Þ</w:t>
      </w:r>
      <w:r w:rsidR="00CD7CCE">
        <w:t>koviu</w:t>
      </w:r>
      <w:r w:rsidR="007329E3" w:rsidRPr="009D7397">
        <w:t xml:space="preserve">, </w:t>
      </w:r>
      <w:r w:rsidR="00CD7CCE">
        <w:t xml:space="preserve">V. </w:t>
      </w:r>
      <w:r w:rsidR="007329E3" w:rsidRPr="009D7397">
        <w:t>V</w:t>
      </w:r>
      <w:r w:rsidR="00CD7CCE">
        <w:t>eljkoviu</w:t>
      </w:r>
      <w:r w:rsidR="007329E3" w:rsidRPr="009D7397">
        <w:t>, L</w:t>
      </w:r>
      <w:r w:rsidR="00CD7CCE">
        <w:t>azium</w:t>
      </w:r>
      <w:r w:rsidR="007329E3" w:rsidRPr="009D7397">
        <w:t xml:space="preserve">. </w:t>
      </w:r>
      <w:r w:rsidR="00CD7CCE">
        <w:t>“</w:t>
      </w:r>
      <w:r w:rsidR="007329E3" w:rsidRPr="009D7397">
        <w:t>Antioxidant and Antimicrobial Activities of Echinacea (Echinacea purpurea L.) Extracts Obtained by Classical and Ultrasound Extraction</w:t>
      </w:r>
      <w:r w:rsidR="00CD7CCE">
        <w:t>”</w:t>
      </w:r>
      <w:r w:rsidR="007329E3" w:rsidRPr="009D7397">
        <w:rPr>
          <w:i/>
          <w:iCs/>
        </w:rPr>
        <w:t xml:space="preserve">. Chinese Journal of Chemical Engineering, </w:t>
      </w:r>
      <w:r w:rsidR="00CD7CCE" w:rsidRPr="00CD7CCE">
        <w:rPr>
          <w:iCs/>
        </w:rPr>
        <w:t>vol.</w:t>
      </w:r>
      <w:r w:rsidR="007329E3" w:rsidRPr="00CD7CCE">
        <w:rPr>
          <w:bCs/>
        </w:rPr>
        <w:t>17(3</w:t>
      </w:r>
      <w:r w:rsidR="007329E3" w:rsidRPr="00CD7CCE">
        <w:rPr>
          <w:iCs/>
        </w:rPr>
        <w:t xml:space="preserve">), </w:t>
      </w:r>
      <w:r w:rsidR="00CD7CCE" w:rsidRPr="00CD7CCE">
        <w:rPr>
          <w:iCs/>
        </w:rPr>
        <w:t>pp.</w:t>
      </w:r>
      <w:r w:rsidR="00CD7CCE">
        <w:t>478-483,</w:t>
      </w:r>
      <w:r w:rsidR="00CD7CCE" w:rsidRPr="009D7397">
        <w:t xml:space="preserve">2009. </w:t>
      </w:r>
    </w:p>
    <w:p w:rsidR="007329E3" w:rsidRDefault="006F4009" w:rsidP="006F4009">
      <w:pPr>
        <w:pStyle w:val="IEEEReferenceItem"/>
        <w:numPr>
          <w:ilvl w:val="0"/>
          <w:numId w:val="0"/>
        </w:numPr>
        <w:ind w:left="432" w:hanging="432"/>
      </w:pPr>
      <w:r>
        <w:t xml:space="preserve">[20]  </w:t>
      </w:r>
      <w:r w:rsidR="00CD7CCE">
        <w:t xml:space="preserve">R. </w:t>
      </w:r>
      <w:r w:rsidR="007329E3" w:rsidRPr="009D7397">
        <w:t>B</w:t>
      </w:r>
      <w:r w:rsidR="00CD7CCE">
        <w:t>aranauskiene</w:t>
      </w:r>
      <w:r w:rsidR="007329E3" w:rsidRPr="009D7397">
        <w:t xml:space="preserve">, </w:t>
      </w:r>
      <w:r w:rsidR="00CD7CCE">
        <w:t xml:space="preserve">R. </w:t>
      </w:r>
      <w:r w:rsidR="007329E3" w:rsidRPr="009D7397">
        <w:t>K</w:t>
      </w:r>
      <w:r w:rsidR="00CD7CCE">
        <w:t>azernavici</w:t>
      </w:r>
      <w:r w:rsidR="007329E3" w:rsidRPr="009D7397">
        <w:t xml:space="preserve">, </w:t>
      </w:r>
      <w:r w:rsidR="00CD7CCE">
        <w:t xml:space="preserve">M. </w:t>
      </w:r>
      <w:r w:rsidR="007329E3" w:rsidRPr="009D7397">
        <w:t>P</w:t>
      </w:r>
      <w:r w:rsidR="00CD7CCE">
        <w:t>ukalskiene</w:t>
      </w:r>
      <w:r w:rsidR="007329E3" w:rsidRPr="009D7397">
        <w:t xml:space="preserve">, </w:t>
      </w:r>
      <w:r w:rsidR="00CD7CCE">
        <w:t xml:space="preserve">R. </w:t>
      </w:r>
      <w:r w:rsidR="007329E3" w:rsidRPr="009D7397">
        <w:t>M</w:t>
      </w:r>
      <w:r w:rsidR="00CD7CCE">
        <w:t>azdzierien</w:t>
      </w:r>
      <w:r w:rsidR="007329E3" w:rsidRPr="009D7397">
        <w:t xml:space="preserve">, </w:t>
      </w:r>
      <w:r w:rsidR="00CD7CCE">
        <w:t>P.</w:t>
      </w:r>
      <w:r w:rsidR="007329E3" w:rsidRPr="009D7397">
        <w:t>R</w:t>
      </w:r>
      <w:r w:rsidR="00CD7CCE">
        <w:t>.</w:t>
      </w:r>
      <w:r w:rsidR="007329E3" w:rsidRPr="009D7397">
        <w:t>V</w:t>
      </w:r>
      <w:r w:rsidR="00CD7CCE">
        <w:t>enskutonis</w:t>
      </w:r>
      <w:r w:rsidR="007329E3" w:rsidRPr="009D7397">
        <w:t xml:space="preserve">. </w:t>
      </w:r>
      <w:r w:rsidR="00CD7CCE">
        <w:t>“</w:t>
      </w:r>
      <w:r w:rsidR="007329E3" w:rsidRPr="009D7397">
        <w:t>Agrorefinery of Tanacetumvulgare L. into valuable products and evaluation of their antioxidant properties and phytochemical composition</w:t>
      </w:r>
      <w:r w:rsidR="00CD7CCE">
        <w:t>”</w:t>
      </w:r>
      <w:r w:rsidR="007329E3" w:rsidRPr="009D7397">
        <w:t>.</w:t>
      </w:r>
      <w:r w:rsidR="007329E3" w:rsidRPr="002F1AD8">
        <w:rPr>
          <w:i/>
          <w:iCs/>
        </w:rPr>
        <w:t>Industrial Crops and Products</w:t>
      </w:r>
      <w:r w:rsidR="007329E3" w:rsidRPr="002F1AD8">
        <w:t xml:space="preserve">, </w:t>
      </w:r>
      <w:r w:rsidR="00CD7CCE">
        <w:t>vol.</w:t>
      </w:r>
      <w:r w:rsidR="007329E3" w:rsidRPr="00CD7CCE">
        <w:rPr>
          <w:bCs/>
        </w:rPr>
        <w:t>60</w:t>
      </w:r>
      <w:r w:rsidR="007329E3" w:rsidRPr="00CD7CCE">
        <w:t>,</w:t>
      </w:r>
      <w:r w:rsidR="00CD7CCE">
        <w:t>pp.</w:t>
      </w:r>
      <w:r w:rsidR="007329E3" w:rsidRPr="002F1AD8">
        <w:t>113–122</w:t>
      </w:r>
      <w:r w:rsidR="00CD7CCE">
        <w:t xml:space="preserve">, </w:t>
      </w:r>
      <w:r w:rsidR="00CD7CCE" w:rsidRPr="009D7397">
        <w:t>2014</w:t>
      </w:r>
      <w:r w:rsidR="007329E3">
        <w:t>.</w:t>
      </w:r>
    </w:p>
    <w:p w:rsidR="006F54BB" w:rsidRPr="009407F6" w:rsidRDefault="006F4009" w:rsidP="006F4009">
      <w:pPr>
        <w:pStyle w:val="IEEEReferenceItem"/>
        <w:numPr>
          <w:ilvl w:val="0"/>
          <w:numId w:val="0"/>
        </w:numPr>
        <w:ind w:left="432" w:hanging="432"/>
        <w:rPr>
          <w:lang w:val="fr-FR"/>
        </w:rPr>
      </w:pPr>
      <w:r>
        <w:t xml:space="preserve">[21]  </w:t>
      </w:r>
      <w:r w:rsidR="00CD7CCE">
        <w:t xml:space="preserve">F. </w:t>
      </w:r>
      <w:r w:rsidR="007329E3" w:rsidRPr="009D7397">
        <w:t>I</w:t>
      </w:r>
      <w:r w:rsidR="00CD7CCE">
        <w:t>rda</w:t>
      </w:r>
      <w:r w:rsidR="007329E3" w:rsidRPr="009D7397">
        <w:t xml:space="preserve">, </w:t>
      </w:r>
      <w:r w:rsidR="00CD7CCE">
        <w:t xml:space="preserve">N. </w:t>
      </w:r>
      <w:r w:rsidR="007329E3" w:rsidRPr="009D7397">
        <w:t>E</w:t>
      </w:r>
      <w:r w:rsidR="00CD7CCE">
        <w:t>velyne</w:t>
      </w:r>
      <w:r w:rsidR="007329E3" w:rsidRPr="009D7397">
        <w:t xml:space="preserve">, </w:t>
      </w:r>
      <w:r w:rsidR="005A18DA">
        <w:t xml:space="preserve">R. </w:t>
      </w:r>
      <w:r w:rsidR="007329E3" w:rsidRPr="009D7397">
        <w:t>K</w:t>
      </w:r>
      <w:r w:rsidR="005A18DA">
        <w:t>omar</w:t>
      </w:r>
      <w:r w:rsidR="007329E3" w:rsidRPr="009D7397">
        <w:t xml:space="preserve">. </w:t>
      </w:r>
      <w:r w:rsidR="005A18DA">
        <w:t>“</w:t>
      </w:r>
      <w:r w:rsidR="007329E3" w:rsidRPr="009D7397">
        <w:t>In vitro antioxidant activities, total flavonoid, phenolic and carotenoid content from various extracts of four species asteraceae herb</w:t>
      </w:r>
      <w:r w:rsidR="005A18DA">
        <w:t>”</w:t>
      </w:r>
      <w:r w:rsidR="007329E3" w:rsidRPr="009D7397">
        <w:t xml:space="preserve">. </w:t>
      </w:r>
      <w:r w:rsidR="007329E3" w:rsidRPr="009407F6">
        <w:rPr>
          <w:i/>
          <w:lang w:val="fr-FR"/>
        </w:rPr>
        <w:t>International Journal of Pharmacy and Pharmaceutical Sciences.</w:t>
      </w:r>
      <w:r w:rsidR="005A18DA" w:rsidRPr="009407F6">
        <w:rPr>
          <w:lang w:val="fr-FR"/>
        </w:rPr>
        <w:t>Vol.</w:t>
      </w:r>
      <w:r w:rsidR="007329E3" w:rsidRPr="009407F6">
        <w:rPr>
          <w:lang w:val="fr-FR"/>
        </w:rPr>
        <w:t>7(4)</w:t>
      </w:r>
      <w:r w:rsidR="005A18DA" w:rsidRPr="009407F6">
        <w:rPr>
          <w:lang w:val="fr-FR"/>
        </w:rPr>
        <w:t>, pp.</w:t>
      </w:r>
      <w:r w:rsidR="00CC7BBA" w:rsidRPr="009407F6">
        <w:rPr>
          <w:lang w:val="fr-FR"/>
        </w:rPr>
        <w:t>192-197,</w:t>
      </w:r>
      <w:r w:rsidR="005A18DA" w:rsidRPr="009407F6">
        <w:rPr>
          <w:lang w:val="fr-FR"/>
        </w:rPr>
        <w:t>2015</w:t>
      </w:r>
      <w:r w:rsidR="007329E3" w:rsidRPr="009407F6">
        <w:rPr>
          <w:lang w:val="fr-FR"/>
        </w:rPr>
        <w:t>.</w:t>
      </w:r>
    </w:p>
    <w:p w:rsidR="00385AF7" w:rsidRPr="009407F6" w:rsidRDefault="006F4009" w:rsidP="006F4009">
      <w:pPr>
        <w:pStyle w:val="IEEEReferenceItem"/>
        <w:numPr>
          <w:ilvl w:val="0"/>
          <w:numId w:val="0"/>
        </w:numPr>
        <w:ind w:left="432" w:hanging="432"/>
        <w:rPr>
          <w:lang w:val="fr-FR"/>
        </w:rPr>
      </w:pPr>
      <w:r w:rsidRPr="009407F6">
        <w:rPr>
          <w:bCs/>
          <w:lang w:val="fr-FR"/>
        </w:rPr>
        <w:t xml:space="preserve">[22]   </w:t>
      </w:r>
      <w:r w:rsidR="00D94788" w:rsidRPr="009407F6">
        <w:rPr>
          <w:bCs/>
          <w:lang w:val="fr-FR"/>
        </w:rPr>
        <w:t xml:space="preserve">R. </w:t>
      </w:r>
      <w:r w:rsidR="00385AF7" w:rsidRPr="009407F6">
        <w:rPr>
          <w:bCs/>
          <w:lang w:val="fr-FR"/>
        </w:rPr>
        <w:t>D</w:t>
      </w:r>
      <w:r w:rsidR="00D94788" w:rsidRPr="009407F6">
        <w:rPr>
          <w:bCs/>
          <w:lang w:val="fr-FR"/>
        </w:rPr>
        <w:t>erriche</w:t>
      </w:r>
      <w:r w:rsidR="00385AF7" w:rsidRPr="009407F6">
        <w:rPr>
          <w:bCs/>
          <w:lang w:val="fr-FR"/>
        </w:rPr>
        <w:t>,</w:t>
      </w:r>
      <w:r w:rsidR="00D94788" w:rsidRPr="009407F6">
        <w:rPr>
          <w:lang w:val="fr-FR"/>
        </w:rPr>
        <w:t xml:space="preserve">A. </w:t>
      </w:r>
      <w:r w:rsidR="00385AF7" w:rsidRPr="009407F6">
        <w:rPr>
          <w:lang w:val="fr-FR"/>
        </w:rPr>
        <w:t>B</w:t>
      </w:r>
      <w:r w:rsidR="00D94788" w:rsidRPr="009407F6">
        <w:rPr>
          <w:lang w:val="fr-FR"/>
        </w:rPr>
        <w:t>ouaziz</w:t>
      </w:r>
      <w:r w:rsidR="00385AF7" w:rsidRPr="009407F6">
        <w:rPr>
          <w:lang w:val="fr-FR"/>
        </w:rPr>
        <w:t>,</w:t>
      </w:r>
      <w:r w:rsidR="00D94788" w:rsidRPr="009407F6">
        <w:rPr>
          <w:lang w:val="fr-FR"/>
        </w:rPr>
        <w:t xml:space="preserve"> H. </w:t>
      </w:r>
      <w:r w:rsidR="00385AF7" w:rsidRPr="009407F6">
        <w:rPr>
          <w:lang w:val="fr-FR"/>
        </w:rPr>
        <w:t>S</w:t>
      </w:r>
      <w:r w:rsidR="00D94788" w:rsidRPr="009407F6">
        <w:rPr>
          <w:lang w:val="fr-FR"/>
        </w:rPr>
        <w:t>alhi</w:t>
      </w:r>
      <w:r w:rsidR="00385AF7" w:rsidRPr="009407F6">
        <w:rPr>
          <w:lang w:val="fr-FR"/>
        </w:rPr>
        <w:t xml:space="preserve">, </w:t>
      </w:r>
      <w:r w:rsidR="00D94788" w:rsidRPr="009407F6">
        <w:rPr>
          <w:lang w:val="fr-FR"/>
        </w:rPr>
        <w:t xml:space="preserve">I. </w:t>
      </w:r>
      <w:r w:rsidR="00385AF7" w:rsidRPr="009407F6">
        <w:rPr>
          <w:lang w:val="fr-FR"/>
        </w:rPr>
        <w:t>S</w:t>
      </w:r>
      <w:r w:rsidR="00D94788" w:rsidRPr="009407F6">
        <w:rPr>
          <w:lang w:val="fr-FR"/>
        </w:rPr>
        <w:t>ehal</w:t>
      </w:r>
      <w:r w:rsidR="00385AF7" w:rsidRPr="009407F6">
        <w:rPr>
          <w:lang w:val="fr-FR"/>
        </w:rPr>
        <w:t xml:space="preserve">, </w:t>
      </w:r>
      <w:r w:rsidR="00D94788" w:rsidRPr="009407F6">
        <w:rPr>
          <w:lang w:val="fr-FR"/>
        </w:rPr>
        <w:t>“</w:t>
      </w:r>
      <w:r w:rsidR="006F54BB" w:rsidRPr="009407F6">
        <w:rPr>
          <w:lang w:val="fr-FR"/>
        </w:rPr>
        <w:t xml:space="preserve">Extraction des polyphénols et </w:t>
      </w:r>
      <w:r w:rsidR="00385AF7" w:rsidRPr="009407F6">
        <w:rPr>
          <w:lang w:val="fr-FR"/>
        </w:rPr>
        <w:t>activité anti-oxydante des extraits et huileessentielle de l’inulevisqueuse</w:t>
      </w:r>
      <w:r w:rsidR="00D94788" w:rsidRPr="009407F6">
        <w:rPr>
          <w:lang w:val="fr-FR"/>
        </w:rPr>
        <w:t>”</w:t>
      </w:r>
      <w:r w:rsidR="00C47040" w:rsidRPr="009407F6">
        <w:rPr>
          <w:lang w:val="fr-FR"/>
        </w:rPr>
        <w:t xml:space="preserve"> 2013 in </w:t>
      </w:r>
      <w:r w:rsidR="00385AF7" w:rsidRPr="009407F6">
        <w:rPr>
          <w:lang w:val="fr-FR"/>
        </w:rPr>
        <w:t>RécentsProgrès en Génie</w:t>
      </w:r>
      <w:r w:rsidR="00C47040" w:rsidRPr="009407F6">
        <w:rPr>
          <w:lang w:val="fr-FR"/>
        </w:rPr>
        <w:t xml:space="preserve"> des Procédés, Numéro 104.</w:t>
      </w:r>
    </w:p>
    <w:p w:rsidR="00D94788" w:rsidRDefault="00385AF7" w:rsidP="00D94788">
      <w:pPr>
        <w:pStyle w:val="IEEEReferenceItem"/>
        <w:numPr>
          <w:ilvl w:val="0"/>
          <w:numId w:val="0"/>
        </w:numPr>
        <w:ind w:left="432"/>
      </w:pPr>
      <w:r>
        <w:t>ISSN: 1775-335X ; ISBN: 978-2-910239</w:t>
      </w:r>
      <w:r w:rsidR="00D94788">
        <w:t>-78-7, Ed. SFGP, Paris, France.</w:t>
      </w:r>
    </w:p>
    <w:p w:rsidR="00F46525" w:rsidRDefault="00D94788" w:rsidP="00F46525">
      <w:pPr>
        <w:pStyle w:val="IEEEReferenceItem"/>
        <w:numPr>
          <w:ilvl w:val="0"/>
          <w:numId w:val="0"/>
        </w:numPr>
        <w:ind w:left="432" w:hanging="432"/>
      </w:pPr>
      <w:r>
        <w:t xml:space="preserve">[23]    N. </w:t>
      </w:r>
      <w:r w:rsidR="007329E3" w:rsidRPr="00BF2F0B">
        <w:t>C</w:t>
      </w:r>
      <w:r>
        <w:t>hahmi</w:t>
      </w:r>
      <w:r w:rsidR="007329E3" w:rsidRPr="00BF2F0B">
        <w:t xml:space="preserve">,  </w:t>
      </w:r>
      <w:r>
        <w:t xml:space="preserve">J. </w:t>
      </w:r>
      <w:r w:rsidR="007329E3" w:rsidRPr="00BF2F0B">
        <w:t>A</w:t>
      </w:r>
      <w:r>
        <w:t>nissi</w:t>
      </w:r>
      <w:r w:rsidR="007329E3" w:rsidRPr="00BF2F0B">
        <w:t xml:space="preserve">, </w:t>
      </w:r>
      <w:r>
        <w:t xml:space="preserve">S. </w:t>
      </w:r>
      <w:r w:rsidR="007329E3" w:rsidRPr="00BF2F0B">
        <w:t>J</w:t>
      </w:r>
      <w:r>
        <w:t>ennan</w:t>
      </w:r>
      <w:r w:rsidR="007329E3" w:rsidRPr="00BF2F0B">
        <w:t xml:space="preserve">,  </w:t>
      </w:r>
      <w:r>
        <w:t xml:space="preserve">A. </w:t>
      </w:r>
      <w:r w:rsidR="007329E3" w:rsidRPr="00BF2F0B">
        <w:t>F</w:t>
      </w:r>
      <w:r>
        <w:t>arah</w:t>
      </w:r>
      <w:r w:rsidR="007329E3" w:rsidRPr="00BF2F0B">
        <w:t xml:space="preserve">, </w:t>
      </w:r>
      <w:r>
        <w:t xml:space="preserve">K. </w:t>
      </w:r>
      <w:r w:rsidR="007329E3" w:rsidRPr="00BF2F0B">
        <w:t>S</w:t>
      </w:r>
      <w:r>
        <w:t>endide</w:t>
      </w:r>
      <w:r w:rsidR="007329E3" w:rsidRPr="00BF2F0B">
        <w:t xml:space="preserve">, </w:t>
      </w:r>
      <w:r>
        <w:t xml:space="preserve">M. </w:t>
      </w:r>
      <w:r w:rsidR="007329E3" w:rsidRPr="00BF2F0B">
        <w:t>E</w:t>
      </w:r>
      <w:r>
        <w:t>l</w:t>
      </w:r>
      <w:r w:rsidR="007329E3" w:rsidRPr="00BF2F0B">
        <w:t>H</w:t>
      </w:r>
      <w:r>
        <w:t>assouni</w:t>
      </w:r>
      <w:r w:rsidR="007329E3" w:rsidRPr="00BF2F0B">
        <w:t xml:space="preserve">, </w:t>
      </w:r>
      <w:r>
        <w:t>“</w:t>
      </w:r>
      <w:r w:rsidR="007329E3" w:rsidRPr="000456FB">
        <w:t>Antioxidant activities and total phenol content of Inulaviscosa extracts selected from three regions of Morocco</w:t>
      </w:r>
      <w:r>
        <w:t>”</w:t>
      </w:r>
      <w:r w:rsidR="007329E3" w:rsidRPr="000456FB">
        <w:t xml:space="preserve">. </w:t>
      </w:r>
      <w:r w:rsidR="007329E3" w:rsidRPr="005F617B">
        <w:rPr>
          <w:i/>
          <w:iCs/>
        </w:rPr>
        <w:t>Asian Pac J Trop Biomed</w:t>
      </w:r>
      <w:r w:rsidR="007329E3" w:rsidRPr="005F617B">
        <w:t>.</w:t>
      </w:r>
      <w:r>
        <w:t>Vol.</w:t>
      </w:r>
      <w:r w:rsidR="007329E3" w:rsidRPr="00D94788">
        <w:rPr>
          <w:bCs/>
        </w:rPr>
        <w:t>5(3)</w:t>
      </w:r>
      <w:r w:rsidR="006E638B">
        <w:t>, pp.</w:t>
      </w:r>
      <w:r>
        <w:t>228-233,</w:t>
      </w:r>
      <w:r w:rsidRPr="00BF2F0B">
        <w:t>2015.</w:t>
      </w:r>
    </w:p>
    <w:p w:rsidR="00F46525" w:rsidRDefault="00D94788" w:rsidP="00F46525">
      <w:pPr>
        <w:pStyle w:val="IEEEReferenceItem"/>
        <w:numPr>
          <w:ilvl w:val="0"/>
          <w:numId w:val="0"/>
        </w:numPr>
        <w:ind w:left="432" w:hanging="432"/>
        <w:rPr>
          <w:rFonts w:asciiTheme="majorBidi" w:hAnsiTheme="majorBidi" w:cstheme="majorBidi"/>
          <w:noProof/>
          <w:szCs w:val="16"/>
        </w:rPr>
      </w:pPr>
      <w:r w:rsidRPr="00F46525">
        <w:rPr>
          <w:color w:val="000000"/>
          <w:szCs w:val="16"/>
        </w:rPr>
        <w:t xml:space="preserve">[24]  </w:t>
      </w:r>
      <w:bookmarkStart w:id="13" w:name="_ENREF_20"/>
      <w:r w:rsidR="00F46525" w:rsidRPr="00F46525">
        <w:rPr>
          <w:rFonts w:asciiTheme="majorBidi" w:hAnsiTheme="majorBidi" w:cstheme="majorBidi"/>
          <w:noProof/>
          <w:szCs w:val="16"/>
        </w:rPr>
        <w:t xml:space="preserve">H.B. </w:t>
      </w:r>
      <w:r w:rsidR="00E21666" w:rsidRPr="00F46525">
        <w:rPr>
          <w:rFonts w:asciiTheme="majorBidi" w:hAnsiTheme="majorBidi" w:cstheme="majorBidi"/>
          <w:noProof/>
          <w:szCs w:val="16"/>
        </w:rPr>
        <w:t xml:space="preserve">Li, </w:t>
      </w:r>
      <w:r w:rsidR="00F46525" w:rsidRPr="00F46525">
        <w:rPr>
          <w:rFonts w:asciiTheme="majorBidi" w:hAnsiTheme="majorBidi" w:cstheme="majorBidi"/>
          <w:noProof/>
          <w:szCs w:val="16"/>
        </w:rPr>
        <w:t xml:space="preserve">K.W. </w:t>
      </w:r>
      <w:r w:rsidR="00F46525">
        <w:rPr>
          <w:rFonts w:asciiTheme="majorBidi" w:hAnsiTheme="majorBidi" w:cstheme="majorBidi"/>
          <w:noProof/>
          <w:szCs w:val="16"/>
        </w:rPr>
        <w:t>Cheng</w:t>
      </w:r>
      <w:r w:rsidR="00E21666" w:rsidRPr="00F46525">
        <w:rPr>
          <w:rFonts w:asciiTheme="majorBidi" w:hAnsiTheme="majorBidi" w:cstheme="majorBidi"/>
          <w:noProof/>
          <w:szCs w:val="16"/>
        </w:rPr>
        <w:t xml:space="preserve">, </w:t>
      </w:r>
      <w:r w:rsidR="00F46525" w:rsidRPr="00F46525">
        <w:rPr>
          <w:rFonts w:asciiTheme="majorBidi" w:hAnsiTheme="majorBidi" w:cstheme="majorBidi"/>
          <w:noProof/>
          <w:szCs w:val="16"/>
        </w:rPr>
        <w:t>C.C</w:t>
      </w:r>
      <w:r w:rsidR="00F46525">
        <w:rPr>
          <w:rFonts w:asciiTheme="majorBidi" w:hAnsiTheme="majorBidi" w:cstheme="majorBidi"/>
          <w:noProof/>
          <w:szCs w:val="16"/>
        </w:rPr>
        <w:t>.</w:t>
      </w:r>
      <w:r w:rsidR="00CE4989">
        <w:rPr>
          <w:rFonts w:asciiTheme="majorBidi" w:hAnsiTheme="majorBidi" w:cstheme="majorBidi"/>
          <w:noProof/>
          <w:szCs w:val="16"/>
        </w:rPr>
        <w:t xml:space="preserve"> Wong</w:t>
      </w:r>
      <w:r w:rsidR="00E21666" w:rsidRPr="00F46525">
        <w:rPr>
          <w:rFonts w:asciiTheme="majorBidi" w:hAnsiTheme="majorBidi" w:cstheme="majorBidi"/>
          <w:noProof/>
          <w:szCs w:val="16"/>
        </w:rPr>
        <w:t>,</w:t>
      </w:r>
      <w:r w:rsidR="00F46525">
        <w:rPr>
          <w:rFonts w:asciiTheme="majorBidi" w:hAnsiTheme="majorBidi" w:cstheme="majorBidi"/>
          <w:noProof/>
          <w:szCs w:val="16"/>
        </w:rPr>
        <w:t>K.W.</w:t>
      </w:r>
      <w:r w:rsidR="00CE4989">
        <w:rPr>
          <w:rFonts w:asciiTheme="majorBidi" w:hAnsiTheme="majorBidi" w:cstheme="majorBidi"/>
          <w:noProof/>
          <w:szCs w:val="16"/>
        </w:rPr>
        <w:t xml:space="preserve"> Fan</w:t>
      </w:r>
      <w:r w:rsidR="00E21666" w:rsidRPr="00F46525">
        <w:rPr>
          <w:rFonts w:asciiTheme="majorBidi" w:hAnsiTheme="majorBidi" w:cstheme="majorBidi"/>
          <w:noProof/>
          <w:szCs w:val="16"/>
        </w:rPr>
        <w:t xml:space="preserve">, </w:t>
      </w:r>
      <w:r w:rsidR="00CE4989" w:rsidRPr="00F46525">
        <w:rPr>
          <w:rFonts w:asciiTheme="majorBidi" w:hAnsiTheme="majorBidi" w:cstheme="majorBidi"/>
          <w:noProof/>
          <w:szCs w:val="16"/>
        </w:rPr>
        <w:t>F.</w:t>
      </w:r>
      <w:r w:rsidR="00CE4989">
        <w:rPr>
          <w:rFonts w:asciiTheme="majorBidi" w:hAnsiTheme="majorBidi" w:cstheme="majorBidi"/>
          <w:noProof/>
          <w:szCs w:val="16"/>
        </w:rPr>
        <w:t xml:space="preserve"> Chen,</w:t>
      </w:r>
      <w:r w:rsidR="00CE4989" w:rsidRPr="00F46525">
        <w:rPr>
          <w:rFonts w:asciiTheme="majorBidi" w:hAnsiTheme="majorBidi" w:cstheme="majorBidi"/>
          <w:noProof/>
          <w:szCs w:val="16"/>
        </w:rPr>
        <w:t>Y.</w:t>
      </w:r>
      <w:r w:rsidR="00CE4989">
        <w:rPr>
          <w:rFonts w:asciiTheme="majorBidi" w:hAnsiTheme="majorBidi" w:cstheme="majorBidi"/>
          <w:noProof/>
          <w:szCs w:val="16"/>
        </w:rPr>
        <w:t xml:space="preserve"> Jiang</w:t>
      </w:r>
      <w:r w:rsidR="00F46525" w:rsidRPr="00F46525">
        <w:rPr>
          <w:rFonts w:asciiTheme="majorBidi" w:hAnsiTheme="majorBidi" w:cstheme="majorBidi"/>
          <w:noProof/>
          <w:szCs w:val="16"/>
        </w:rPr>
        <w:t xml:space="preserve">, </w:t>
      </w:r>
      <w:r w:rsidR="00CE4989">
        <w:rPr>
          <w:rFonts w:asciiTheme="majorBidi" w:hAnsiTheme="majorBidi" w:cstheme="majorBidi"/>
          <w:noProof/>
          <w:szCs w:val="16"/>
        </w:rPr>
        <w:t>“</w:t>
      </w:r>
      <w:r w:rsidR="00E21666" w:rsidRPr="00F46525">
        <w:rPr>
          <w:rFonts w:asciiTheme="majorBidi" w:hAnsiTheme="majorBidi" w:cstheme="majorBidi"/>
          <w:noProof/>
          <w:szCs w:val="16"/>
        </w:rPr>
        <w:t>Evaluation of antioxidant capacity and total phenolic content of different fractions</w:t>
      </w:r>
      <w:r w:rsidR="00E21666" w:rsidRPr="00C47BCD">
        <w:rPr>
          <w:rFonts w:asciiTheme="majorBidi" w:hAnsiTheme="majorBidi" w:cstheme="majorBidi"/>
          <w:noProof/>
          <w:szCs w:val="16"/>
        </w:rPr>
        <w:t xml:space="preserve"> of selected microalgae</w:t>
      </w:r>
      <w:r w:rsidR="00CE4989">
        <w:rPr>
          <w:rFonts w:asciiTheme="majorBidi" w:hAnsiTheme="majorBidi" w:cstheme="majorBidi"/>
          <w:noProof/>
          <w:szCs w:val="16"/>
        </w:rPr>
        <w:t>”</w:t>
      </w:r>
      <w:r w:rsidR="00E21666" w:rsidRPr="00C47BCD">
        <w:rPr>
          <w:rFonts w:asciiTheme="majorBidi" w:hAnsiTheme="majorBidi" w:cstheme="majorBidi"/>
          <w:noProof/>
          <w:szCs w:val="16"/>
        </w:rPr>
        <w:t xml:space="preserve">. </w:t>
      </w:r>
      <w:r w:rsidR="00E21666" w:rsidRPr="00CE4989">
        <w:rPr>
          <w:rFonts w:asciiTheme="majorBidi" w:hAnsiTheme="majorBidi" w:cstheme="majorBidi"/>
          <w:i/>
          <w:noProof/>
          <w:szCs w:val="16"/>
        </w:rPr>
        <w:t>Food Chemistry</w:t>
      </w:r>
      <w:r w:rsidR="00CE4989">
        <w:rPr>
          <w:rFonts w:asciiTheme="majorBidi" w:hAnsiTheme="majorBidi" w:cstheme="majorBidi"/>
          <w:noProof/>
          <w:szCs w:val="16"/>
        </w:rPr>
        <w:t>, vol. 102</w:t>
      </w:r>
      <w:r w:rsidR="00E21666" w:rsidRPr="00C47BCD">
        <w:rPr>
          <w:rFonts w:asciiTheme="majorBidi" w:hAnsiTheme="majorBidi" w:cstheme="majorBidi"/>
          <w:noProof/>
          <w:szCs w:val="16"/>
        </w:rPr>
        <w:t xml:space="preserve">, </w:t>
      </w:r>
      <w:r w:rsidR="00CE4989">
        <w:rPr>
          <w:rFonts w:asciiTheme="majorBidi" w:hAnsiTheme="majorBidi" w:cstheme="majorBidi"/>
          <w:noProof/>
          <w:szCs w:val="16"/>
        </w:rPr>
        <w:t>pp.</w:t>
      </w:r>
      <w:r w:rsidR="00E21666" w:rsidRPr="00C47BCD">
        <w:rPr>
          <w:rFonts w:asciiTheme="majorBidi" w:hAnsiTheme="majorBidi" w:cstheme="majorBidi"/>
          <w:noProof/>
          <w:szCs w:val="16"/>
        </w:rPr>
        <w:t>771–776</w:t>
      </w:r>
      <w:r w:rsidR="00CE4989">
        <w:rPr>
          <w:rFonts w:asciiTheme="majorBidi" w:hAnsiTheme="majorBidi" w:cstheme="majorBidi"/>
          <w:noProof/>
          <w:szCs w:val="16"/>
        </w:rPr>
        <w:t>,2007</w:t>
      </w:r>
      <w:r w:rsidR="00E21666" w:rsidRPr="00C47BCD">
        <w:rPr>
          <w:rFonts w:asciiTheme="majorBidi" w:hAnsiTheme="majorBidi" w:cstheme="majorBidi"/>
          <w:noProof/>
          <w:szCs w:val="16"/>
        </w:rPr>
        <w:t>.</w:t>
      </w:r>
      <w:bookmarkEnd w:id="13"/>
    </w:p>
    <w:p w:rsidR="00E21666" w:rsidRPr="00F46525" w:rsidRDefault="006F54BB" w:rsidP="00F46525">
      <w:pPr>
        <w:pStyle w:val="IEEEReferenceItem"/>
        <w:numPr>
          <w:ilvl w:val="0"/>
          <w:numId w:val="0"/>
        </w:numPr>
        <w:ind w:left="432" w:hanging="432"/>
      </w:pPr>
      <w:r w:rsidRPr="00F46525">
        <w:rPr>
          <w:color w:val="000000"/>
          <w:szCs w:val="16"/>
        </w:rPr>
        <w:t>[25]</w:t>
      </w:r>
      <w:r w:rsidR="00CE4989" w:rsidRPr="00C47BCD">
        <w:rPr>
          <w:rFonts w:asciiTheme="majorBidi" w:hAnsiTheme="majorBidi" w:cstheme="majorBidi"/>
          <w:noProof/>
          <w:szCs w:val="16"/>
        </w:rPr>
        <w:t>F.</w:t>
      </w:r>
      <w:r w:rsidR="00CE4989">
        <w:rPr>
          <w:rFonts w:asciiTheme="majorBidi" w:hAnsiTheme="majorBidi" w:cstheme="majorBidi"/>
          <w:noProof/>
          <w:szCs w:val="16"/>
        </w:rPr>
        <w:t>Que,</w:t>
      </w:r>
      <w:r w:rsidR="00CE4989" w:rsidRPr="00C47BCD">
        <w:rPr>
          <w:rFonts w:asciiTheme="majorBidi" w:hAnsiTheme="majorBidi" w:cstheme="majorBidi"/>
          <w:noProof/>
          <w:szCs w:val="16"/>
        </w:rPr>
        <w:t>L.</w:t>
      </w:r>
      <w:r w:rsidR="00CE4989">
        <w:rPr>
          <w:rFonts w:asciiTheme="majorBidi" w:hAnsiTheme="majorBidi" w:cstheme="majorBidi"/>
          <w:noProof/>
          <w:szCs w:val="16"/>
        </w:rPr>
        <w:t xml:space="preserve"> Mao,  </w:t>
      </w:r>
      <w:r w:rsidR="00CE4989" w:rsidRPr="00C47BCD">
        <w:rPr>
          <w:rFonts w:asciiTheme="majorBidi" w:hAnsiTheme="majorBidi" w:cstheme="majorBidi"/>
          <w:noProof/>
          <w:szCs w:val="16"/>
        </w:rPr>
        <w:t>X.</w:t>
      </w:r>
      <w:r w:rsidR="00CE4989">
        <w:rPr>
          <w:rFonts w:asciiTheme="majorBidi" w:hAnsiTheme="majorBidi" w:cstheme="majorBidi"/>
          <w:noProof/>
          <w:szCs w:val="16"/>
        </w:rPr>
        <w:t>Pan</w:t>
      </w:r>
      <w:r w:rsidR="00E21666" w:rsidRPr="00C47BCD">
        <w:rPr>
          <w:rFonts w:asciiTheme="majorBidi" w:hAnsiTheme="majorBidi" w:cstheme="majorBidi"/>
          <w:noProof/>
          <w:szCs w:val="16"/>
        </w:rPr>
        <w:t xml:space="preserve"> ,  </w:t>
      </w:r>
      <w:r w:rsidR="00CE4989">
        <w:rPr>
          <w:rFonts w:asciiTheme="majorBidi" w:hAnsiTheme="majorBidi" w:cstheme="majorBidi"/>
          <w:noProof/>
          <w:szCs w:val="16"/>
        </w:rPr>
        <w:t>“</w:t>
      </w:r>
      <w:r w:rsidR="00E21666" w:rsidRPr="00C47BCD">
        <w:rPr>
          <w:rFonts w:asciiTheme="majorBidi" w:hAnsiTheme="majorBidi" w:cstheme="majorBidi"/>
          <w:noProof/>
          <w:szCs w:val="16"/>
        </w:rPr>
        <w:t>Antioxidant activities of five Chinese rice wines and the involvement of phenolic compounds</w:t>
      </w:r>
      <w:r w:rsidR="00CE4989">
        <w:rPr>
          <w:rFonts w:asciiTheme="majorBidi" w:hAnsiTheme="majorBidi" w:cstheme="majorBidi"/>
          <w:noProof/>
          <w:szCs w:val="16"/>
        </w:rPr>
        <w:t>”</w:t>
      </w:r>
      <w:r w:rsidR="00E21666" w:rsidRPr="00C47BCD">
        <w:rPr>
          <w:rFonts w:asciiTheme="majorBidi" w:hAnsiTheme="majorBidi" w:cstheme="majorBidi"/>
          <w:noProof/>
          <w:szCs w:val="16"/>
        </w:rPr>
        <w:t xml:space="preserve">. </w:t>
      </w:r>
      <w:r w:rsidR="00E21666" w:rsidRPr="00CE4989">
        <w:rPr>
          <w:rFonts w:asciiTheme="majorBidi" w:hAnsiTheme="majorBidi" w:cstheme="majorBidi"/>
          <w:i/>
          <w:noProof/>
          <w:szCs w:val="16"/>
        </w:rPr>
        <w:t>Food Research International</w:t>
      </w:r>
      <w:r w:rsidR="00CE4989">
        <w:rPr>
          <w:rFonts w:asciiTheme="majorBidi" w:hAnsiTheme="majorBidi" w:cstheme="majorBidi"/>
          <w:noProof/>
          <w:szCs w:val="16"/>
        </w:rPr>
        <w:t>vol.39</w:t>
      </w:r>
      <w:r w:rsidR="00E21666" w:rsidRPr="00C47BCD">
        <w:rPr>
          <w:rFonts w:asciiTheme="majorBidi" w:hAnsiTheme="majorBidi" w:cstheme="majorBidi"/>
          <w:noProof/>
          <w:szCs w:val="16"/>
        </w:rPr>
        <w:t xml:space="preserve">, </w:t>
      </w:r>
      <w:r w:rsidR="00CE4989">
        <w:rPr>
          <w:rFonts w:asciiTheme="majorBidi" w:hAnsiTheme="majorBidi" w:cstheme="majorBidi"/>
          <w:noProof/>
          <w:szCs w:val="16"/>
        </w:rPr>
        <w:t>pp.</w:t>
      </w:r>
      <w:r w:rsidR="00E21666" w:rsidRPr="00C47BCD">
        <w:rPr>
          <w:rFonts w:asciiTheme="majorBidi" w:hAnsiTheme="majorBidi" w:cstheme="majorBidi"/>
          <w:noProof/>
          <w:szCs w:val="16"/>
        </w:rPr>
        <w:t>581-587</w:t>
      </w:r>
      <w:r w:rsidR="00CE4989">
        <w:rPr>
          <w:rFonts w:asciiTheme="majorBidi" w:hAnsiTheme="majorBidi" w:cstheme="majorBidi"/>
          <w:noProof/>
          <w:szCs w:val="16"/>
        </w:rPr>
        <w:t>,2006</w:t>
      </w:r>
      <w:r w:rsidR="00CE4989" w:rsidRPr="00C47BCD">
        <w:rPr>
          <w:rFonts w:asciiTheme="majorBidi" w:hAnsiTheme="majorBidi" w:cstheme="majorBidi"/>
          <w:noProof/>
          <w:szCs w:val="16"/>
        </w:rPr>
        <w:t>.</w:t>
      </w:r>
      <w:r w:rsidR="00E21666" w:rsidRPr="00C47BCD">
        <w:rPr>
          <w:rFonts w:asciiTheme="majorBidi" w:hAnsiTheme="majorBidi" w:cstheme="majorBidi"/>
          <w:noProof/>
          <w:szCs w:val="16"/>
        </w:rPr>
        <w:t>.</w:t>
      </w:r>
    </w:p>
    <w:p w:rsidR="006F54BB" w:rsidRDefault="006F54BB" w:rsidP="006F54BB">
      <w:pPr>
        <w:pStyle w:val="IEEEReferenceItem"/>
        <w:numPr>
          <w:ilvl w:val="0"/>
          <w:numId w:val="0"/>
        </w:numPr>
        <w:ind w:left="432" w:hanging="432"/>
        <w:rPr>
          <w:rFonts w:asciiTheme="majorBidi" w:hAnsiTheme="majorBidi" w:cstheme="majorBidi"/>
          <w:color w:val="000000" w:themeColor="text1"/>
          <w:szCs w:val="16"/>
        </w:rPr>
      </w:pPr>
      <w:r w:rsidRPr="006F54BB">
        <w:rPr>
          <w:rFonts w:asciiTheme="majorBidi" w:hAnsiTheme="majorBidi" w:cstheme="majorBidi"/>
          <w:bCs/>
          <w:color w:val="000000" w:themeColor="text1"/>
          <w:szCs w:val="16"/>
        </w:rPr>
        <w:t>[26]</w:t>
      </w:r>
      <w:r w:rsidR="00CE4989" w:rsidRPr="006F54BB">
        <w:rPr>
          <w:rFonts w:asciiTheme="majorBidi" w:hAnsiTheme="majorBidi" w:cstheme="majorBidi"/>
          <w:color w:val="000000" w:themeColor="text1"/>
          <w:szCs w:val="16"/>
        </w:rPr>
        <w:t>D.</w:t>
      </w:r>
      <w:r w:rsidRPr="006F54BB">
        <w:rPr>
          <w:rFonts w:asciiTheme="majorBidi" w:hAnsiTheme="majorBidi" w:cstheme="majorBidi"/>
          <w:color w:val="000000" w:themeColor="text1"/>
          <w:szCs w:val="16"/>
        </w:rPr>
        <w:t>H</w:t>
      </w:r>
      <w:r w:rsidR="00CE4989">
        <w:rPr>
          <w:rFonts w:asciiTheme="majorBidi" w:hAnsiTheme="majorBidi" w:cstheme="majorBidi"/>
          <w:color w:val="000000" w:themeColor="text1"/>
          <w:szCs w:val="16"/>
        </w:rPr>
        <w:t>uang</w:t>
      </w:r>
      <w:r w:rsidRPr="006F54BB">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B.</w:t>
      </w:r>
      <w:r w:rsidRPr="006F54BB">
        <w:rPr>
          <w:rFonts w:asciiTheme="majorBidi" w:hAnsiTheme="majorBidi" w:cstheme="majorBidi"/>
          <w:color w:val="000000" w:themeColor="text1"/>
          <w:szCs w:val="16"/>
        </w:rPr>
        <w:t>O</w:t>
      </w:r>
      <w:r w:rsidR="00CE4989">
        <w:rPr>
          <w:rFonts w:asciiTheme="majorBidi" w:hAnsiTheme="majorBidi" w:cstheme="majorBidi"/>
          <w:color w:val="000000" w:themeColor="text1"/>
          <w:szCs w:val="16"/>
        </w:rPr>
        <w:t>u</w:t>
      </w:r>
      <w:r w:rsidRPr="006F54BB">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M.</w:t>
      </w:r>
      <w:r w:rsidRPr="006F54BB">
        <w:rPr>
          <w:rFonts w:asciiTheme="majorBidi" w:hAnsiTheme="majorBidi" w:cstheme="majorBidi"/>
          <w:color w:val="000000" w:themeColor="text1"/>
          <w:szCs w:val="16"/>
        </w:rPr>
        <w:t>H</w:t>
      </w:r>
      <w:r w:rsidR="00CE4989">
        <w:rPr>
          <w:rFonts w:asciiTheme="majorBidi" w:hAnsiTheme="majorBidi" w:cstheme="majorBidi"/>
          <w:color w:val="000000" w:themeColor="text1"/>
          <w:szCs w:val="16"/>
        </w:rPr>
        <w:t>ampsch</w:t>
      </w:r>
      <w:r w:rsidRPr="006F54BB">
        <w:rPr>
          <w:rFonts w:asciiTheme="majorBidi" w:hAnsiTheme="majorBidi" w:cstheme="majorBidi"/>
          <w:color w:val="000000" w:themeColor="text1"/>
          <w:szCs w:val="16"/>
        </w:rPr>
        <w:t>-W</w:t>
      </w:r>
      <w:r w:rsidR="00CE4989">
        <w:rPr>
          <w:rFonts w:asciiTheme="majorBidi" w:hAnsiTheme="majorBidi" w:cstheme="majorBidi"/>
          <w:color w:val="000000" w:themeColor="text1"/>
          <w:szCs w:val="16"/>
        </w:rPr>
        <w:t>oodill</w:t>
      </w:r>
      <w:r w:rsidRPr="006F54BB">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J.A.</w:t>
      </w:r>
      <w:r w:rsidRPr="006F54BB">
        <w:rPr>
          <w:rFonts w:asciiTheme="majorBidi" w:hAnsiTheme="majorBidi" w:cstheme="majorBidi"/>
          <w:color w:val="000000" w:themeColor="text1"/>
          <w:szCs w:val="16"/>
        </w:rPr>
        <w:t xml:space="preserve"> F</w:t>
      </w:r>
      <w:r w:rsidR="00CE4989">
        <w:rPr>
          <w:rFonts w:asciiTheme="majorBidi" w:hAnsiTheme="majorBidi" w:cstheme="majorBidi"/>
          <w:color w:val="000000" w:themeColor="text1"/>
          <w:szCs w:val="16"/>
        </w:rPr>
        <w:t>lanagan</w:t>
      </w:r>
      <w:r w:rsidRPr="006F54BB">
        <w:rPr>
          <w:rFonts w:asciiTheme="majorBidi" w:hAnsiTheme="majorBidi" w:cstheme="majorBidi"/>
          <w:color w:val="000000" w:themeColor="text1"/>
          <w:szCs w:val="16"/>
        </w:rPr>
        <w:t xml:space="preserve">, </w:t>
      </w:r>
      <w:r w:rsidR="00CE4989" w:rsidRPr="006F54BB">
        <w:rPr>
          <w:rFonts w:asciiTheme="majorBidi" w:hAnsiTheme="majorBidi" w:cstheme="majorBidi"/>
          <w:color w:val="000000" w:themeColor="text1"/>
          <w:szCs w:val="16"/>
        </w:rPr>
        <w:t>E.K.</w:t>
      </w:r>
      <w:r w:rsidRPr="006F54BB">
        <w:rPr>
          <w:rFonts w:asciiTheme="majorBidi" w:hAnsiTheme="majorBidi" w:cstheme="majorBidi"/>
          <w:color w:val="000000" w:themeColor="text1"/>
          <w:szCs w:val="16"/>
        </w:rPr>
        <w:t>D</w:t>
      </w:r>
      <w:r w:rsidR="00CE4989">
        <w:rPr>
          <w:rFonts w:asciiTheme="majorBidi" w:hAnsiTheme="majorBidi" w:cstheme="majorBidi"/>
          <w:color w:val="000000" w:themeColor="text1"/>
          <w:szCs w:val="16"/>
        </w:rPr>
        <w:t>eemer</w:t>
      </w:r>
      <w:r w:rsidRPr="006F54BB">
        <w:rPr>
          <w:rFonts w:asciiTheme="majorBidi" w:hAnsiTheme="majorBidi" w:cstheme="majorBidi"/>
          <w:color w:val="000000" w:themeColor="text1"/>
          <w:szCs w:val="16"/>
        </w:rPr>
        <w:t xml:space="preserve">, </w:t>
      </w:r>
      <w:r w:rsidR="00CE4989">
        <w:rPr>
          <w:rFonts w:asciiTheme="majorBidi" w:hAnsiTheme="majorBidi" w:cstheme="majorBidi"/>
          <w:color w:val="000000" w:themeColor="text1"/>
          <w:szCs w:val="16"/>
        </w:rPr>
        <w:t>“</w:t>
      </w:r>
      <w:r w:rsidRPr="006F54BB">
        <w:rPr>
          <w:rFonts w:asciiTheme="majorBidi" w:hAnsiTheme="majorBidi" w:cstheme="majorBidi"/>
          <w:color w:val="000000" w:themeColor="text1"/>
          <w:szCs w:val="16"/>
        </w:rPr>
        <w:t>Development and validation of oxygen radical absorbance capacity assay for lipophilic antioxidants using randomly methylated beta-cyclodextrin as the solubility enhance</w:t>
      </w:r>
      <w:r w:rsidR="00CE4989">
        <w:rPr>
          <w:rFonts w:asciiTheme="majorBidi" w:hAnsiTheme="majorBidi" w:cstheme="majorBidi"/>
          <w:color w:val="000000" w:themeColor="text1"/>
          <w:szCs w:val="16"/>
        </w:rPr>
        <w:t>”</w:t>
      </w:r>
      <w:r w:rsidRPr="006F54BB">
        <w:rPr>
          <w:rFonts w:asciiTheme="majorBidi" w:hAnsiTheme="majorBidi" w:cstheme="majorBidi"/>
          <w:color w:val="000000" w:themeColor="text1"/>
          <w:szCs w:val="16"/>
        </w:rPr>
        <w:t>r.</w:t>
      </w:r>
      <w:r w:rsidRPr="006F54BB">
        <w:rPr>
          <w:rFonts w:asciiTheme="majorBidi" w:hAnsiTheme="majorBidi" w:cstheme="majorBidi"/>
          <w:i/>
          <w:iCs/>
          <w:color w:val="000000" w:themeColor="text1"/>
          <w:szCs w:val="16"/>
        </w:rPr>
        <w:t>J Agric Food Chem</w:t>
      </w:r>
      <w:r w:rsidRPr="006F54BB">
        <w:rPr>
          <w:rFonts w:asciiTheme="majorBidi" w:hAnsiTheme="majorBidi" w:cstheme="majorBidi"/>
          <w:color w:val="000000" w:themeColor="text1"/>
          <w:szCs w:val="16"/>
        </w:rPr>
        <w:t>.</w:t>
      </w:r>
      <w:r w:rsidR="00CE4989">
        <w:rPr>
          <w:rFonts w:asciiTheme="majorBidi" w:hAnsiTheme="majorBidi" w:cstheme="majorBidi"/>
          <w:color w:val="000000" w:themeColor="text1"/>
          <w:szCs w:val="16"/>
        </w:rPr>
        <w:t xml:space="preserve"> Vol. </w:t>
      </w:r>
      <w:r w:rsidRPr="00CE4989">
        <w:rPr>
          <w:rFonts w:asciiTheme="majorBidi" w:hAnsiTheme="majorBidi" w:cstheme="majorBidi"/>
          <w:bCs/>
          <w:color w:val="000000" w:themeColor="text1"/>
          <w:szCs w:val="16"/>
        </w:rPr>
        <w:t>50</w:t>
      </w:r>
      <w:r w:rsidR="00CE4989">
        <w:rPr>
          <w:rFonts w:asciiTheme="majorBidi" w:hAnsiTheme="majorBidi" w:cstheme="majorBidi"/>
          <w:color w:val="000000" w:themeColor="text1"/>
          <w:szCs w:val="16"/>
        </w:rPr>
        <w:t>, pp.</w:t>
      </w:r>
      <w:r w:rsidRPr="006F54BB">
        <w:rPr>
          <w:rFonts w:asciiTheme="majorBidi" w:hAnsiTheme="majorBidi" w:cstheme="majorBidi"/>
          <w:color w:val="000000" w:themeColor="text1"/>
          <w:szCs w:val="16"/>
        </w:rPr>
        <w:t>1815-1821</w:t>
      </w:r>
      <w:r w:rsidR="00CE4989">
        <w:rPr>
          <w:rFonts w:asciiTheme="majorBidi" w:hAnsiTheme="majorBidi" w:cstheme="majorBidi"/>
          <w:color w:val="000000" w:themeColor="text1"/>
          <w:szCs w:val="16"/>
        </w:rPr>
        <w:t>, 2002</w:t>
      </w:r>
      <w:r w:rsidRPr="006F54BB">
        <w:rPr>
          <w:rFonts w:asciiTheme="majorBidi" w:hAnsiTheme="majorBidi" w:cstheme="majorBidi"/>
          <w:color w:val="000000" w:themeColor="text1"/>
          <w:szCs w:val="16"/>
        </w:rPr>
        <w:t>.</w:t>
      </w:r>
    </w:p>
    <w:p w:rsidR="00906F74" w:rsidRPr="00F46525" w:rsidRDefault="006F54BB" w:rsidP="00F46525">
      <w:pPr>
        <w:pStyle w:val="IEEEReferenceItem"/>
        <w:numPr>
          <w:ilvl w:val="0"/>
          <w:numId w:val="0"/>
        </w:numPr>
        <w:ind w:left="432" w:hanging="432"/>
        <w:rPr>
          <w:color w:val="000000"/>
          <w:szCs w:val="16"/>
        </w:rPr>
      </w:pPr>
      <w:r w:rsidRPr="006F54BB">
        <w:rPr>
          <w:rFonts w:asciiTheme="majorBidi" w:hAnsiTheme="majorBidi" w:cstheme="majorBidi"/>
          <w:bCs/>
          <w:color w:val="000000" w:themeColor="text1"/>
          <w:szCs w:val="16"/>
        </w:rPr>
        <w:t>[27]</w:t>
      </w:r>
      <w:r w:rsidR="00CE4989" w:rsidRPr="006F54BB">
        <w:rPr>
          <w:rFonts w:asciiTheme="majorBidi" w:hAnsiTheme="majorBidi" w:cstheme="majorBidi"/>
          <w:color w:val="000000" w:themeColor="text1"/>
          <w:szCs w:val="16"/>
        </w:rPr>
        <w:t>X.</w:t>
      </w:r>
      <w:r w:rsidRPr="006F54BB">
        <w:rPr>
          <w:rFonts w:asciiTheme="majorBidi" w:hAnsiTheme="majorBidi" w:cstheme="majorBidi"/>
          <w:color w:val="000000" w:themeColor="text1"/>
          <w:szCs w:val="16"/>
        </w:rPr>
        <w:t>W</w:t>
      </w:r>
      <w:r w:rsidR="00CE4989">
        <w:rPr>
          <w:rFonts w:asciiTheme="majorBidi" w:hAnsiTheme="majorBidi" w:cstheme="majorBidi"/>
          <w:color w:val="000000" w:themeColor="text1"/>
          <w:szCs w:val="16"/>
        </w:rPr>
        <w:t>u</w:t>
      </w:r>
      <w:r w:rsidRPr="006F54BB">
        <w:rPr>
          <w:rFonts w:asciiTheme="majorBidi" w:hAnsiTheme="majorBidi" w:cstheme="majorBidi"/>
          <w:color w:val="000000" w:themeColor="text1"/>
          <w:szCs w:val="16"/>
        </w:rPr>
        <w:t xml:space="preserve">, </w:t>
      </w:r>
      <w:r w:rsidR="00CE4989" w:rsidRPr="006F54BB">
        <w:rPr>
          <w:rFonts w:asciiTheme="majorBidi" w:hAnsiTheme="majorBidi" w:cstheme="majorBidi"/>
          <w:color w:val="000000" w:themeColor="text1"/>
          <w:szCs w:val="16"/>
        </w:rPr>
        <w:t>G.R.</w:t>
      </w:r>
      <w:r w:rsidRPr="006F54BB">
        <w:rPr>
          <w:rFonts w:asciiTheme="majorBidi" w:hAnsiTheme="majorBidi" w:cstheme="majorBidi"/>
          <w:color w:val="000000" w:themeColor="text1"/>
          <w:szCs w:val="16"/>
        </w:rPr>
        <w:t>B</w:t>
      </w:r>
      <w:r w:rsidR="00CE4989">
        <w:rPr>
          <w:rFonts w:asciiTheme="majorBidi" w:hAnsiTheme="majorBidi" w:cstheme="majorBidi"/>
          <w:color w:val="000000" w:themeColor="text1"/>
          <w:szCs w:val="16"/>
        </w:rPr>
        <w:t>eecher</w:t>
      </w:r>
      <w:r w:rsidRPr="006F54BB">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J.M.</w:t>
      </w:r>
      <w:r w:rsidRPr="006F54BB">
        <w:rPr>
          <w:rFonts w:asciiTheme="majorBidi" w:hAnsiTheme="majorBidi" w:cstheme="majorBidi"/>
          <w:color w:val="000000" w:themeColor="text1"/>
          <w:szCs w:val="16"/>
        </w:rPr>
        <w:t>H</w:t>
      </w:r>
      <w:r w:rsidR="00CE4989">
        <w:rPr>
          <w:rFonts w:asciiTheme="majorBidi" w:hAnsiTheme="majorBidi" w:cstheme="majorBidi"/>
          <w:color w:val="000000" w:themeColor="text1"/>
          <w:szCs w:val="16"/>
        </w:rPr>
        <w:t>olden</w:t>
      </w:r>
      <w:r w:rsidRPr="006F54BB">
        <w:rPr>
          <w:rFonts w:asciiTheme="majorBidi" w:hAnsiTheme="majorBidi" w:cstheme="majorBidi"/>
          <w:color w:val="000000" w:themeColor="text1"/>
          <w:szCs w:val="16"/>
        </w:rPr>
        <w:t xml:space="preserve">, </w:t>
      </w:r>
      <w:r w:rsidR="00CE4989" w:rsidRPr="006F54BB">
        <w:rPr>
          <w:rFonts w:asciiTheme="majorBidi" w:hAnsiTheme="majorBidi" w:cstheme="majorBidi"/>
          <w:color w:val="000000" w:themeColor="text1"/>
          <w:szCs w:val="16"/>
        </w:rPr>
        <w:t>D.B.</w:t>
      </w:r>
      <w:r w:rsidRPr="006F54BB">
        <w:rPr>
          <w:rFonts w:asciiTheme="majorBidi" w:hAnsiTheme="majorBidi" w:cstheme="majorBidi"/>
          <w:color w:val="000000" w:themeColor="text1"/>
          <w:szCs w:val="16"/>
        </w:rPr>
        <w:t>H</w:t>
      </w:r>
      <w:r w:rsidR="00CE4989">
        <w:rPr>
          <w:rFonts w:asciiTheme="majorBidi" w:hAnsiTheme="majorBidi" w:cstheme="majorBidi"/>
          <w:color w:val="000000" w:themeColor="text1"/>
          <w:szCs w:val="16"/>
        </w:rPr>
        <w:t>aytowitz</w:t>
      </w:r>
      <w:r w:rsidRPr="006F54BB">
        <w:rPr>
          <w:rFonts w:asciiTheme="majorBidi" w:hAnsiTheme="majorBidi" w:cstheme="majorBidi"/>
          <w:color w:val="000000" w:themeColor="text1"/>
          <w:szCs w:val="16"/>
        </w:rPr>
        <w:t xml:space="preserve">, </w:t>
      </w:r>
      <w:r w:rsidR="00CE4989" w:rsidRPr="006F54BB">
        <w:rPr>
          <w:rFonts w:asciiTheme="majorBidi" w:hAnsiTheme="majorBidi" w:cstheme="majorBidi"/>
          <w:color w:val="000000" w:themeColor="text1"/>
          <w:szCs w:val="16"/>
        </w:rPr>
        <w:t>S.E.</w:t>
      </w:r>
      <w:r w:rsidRPr="006F54BB">
        <w:rPr>
          <w:rFonts w:asciiTheme="majorBidi" w:hAnsiTheme="majorBidi" w:cstheme="majorBidi"/>
          <w:color w:val="000000" w:themeColor="text1"/>
          <w:szCs w:val="16"/>
        </w:rPr>
        <w:t>G</w:t>
      </w:r>
      <w:r w:rsidR="00CE4989">
        <w:rPr>
          <w:rFonts w:asciiTheme="majorBidi" w:hAnsiTheme="majorBidi" w:cstheme="majorBidi"/>
          <w:color w:val="000000" w:themeColor="text1"/>
          <w:szCs w:val="16"/>
        </w:rPr>
        <w:t>ebhardt</w:t>
      </w:r>
      <w:r w:rsidRPr="006F54BB">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R.L.</w:t>
      </w:r>
      <w:r w:rsidRPr="006F54BB">
        <w:rPr>
          <w:rFonts w:asciiTheme="majorBidi" w:hAnsiTheme="majorBidi" w:cstheme="majorBidi"/>
          <w:color w:val="000000" w:themeColor="text1"/>
          <w:szCs w:val="16"/>
        </w:rPr>
        <w:t>P</w:t>
      </w:r>
      <w:r w:rsidR="00CE4989">
        <w:rPr>
          <w:rFonts w:asciiTheme="majorBidi" w:hAnsiTheme="majorBidi" w:cstheme="majorBidi"/>
          <w:color w:val="000000" w:themeColor="text1"/>
          <w:szCs w:val="16"/>
        </w:rPr>
        <w:t>rior</w:t>
      </w:r>
      <w:r w:rsidR="006E638B">
        <w:rPr>
          <w:rFonts w:asciiTheme="majorBidi" w:hAnsiTheme="majorBidi" w:cstheme="majorBidi"/>
          <w:color w:val="000000" w:themeColor="text1"/>
          <w:szCs w:val="16"/>
        </w:rPr>
        <w:t>.</w:t>
      </w:r>
      <w:r w:rsidR="00CE4989">
        <w:rPr>
          <w:rFonts w:asciiTheme="majorBidi" w:hAnsiTheme="majorBidi" w:cstheme="majorBidi"/>
          <w:color w:val="000000" w:themeColor="text1"/>
          <w:szCs w:val="16"/>
        </w:rPr>
        <w:t>“</w:t>
      </w:r>
      <w:r w:rsidRPr="006F54BB">
        <w:rPr>
          <w:rFonts w:asciiTheme="majorBidi" w:hAnsiTheme="majorBidi" w:cstheme="majorBidi"/>
          <w:color w:val="000000" w:themeColor="text1"/>
          <w:szCs w:val="16"/>
        </w:rPr>
        <w:t>Lipophilic and hydrophilic antioxidant capacities of common foods in the United States</w:t>
      </w:r>
      <w:r w:rsidR="00CE4989">
        <w:rPr>
          <w:rFonts w:asciiTheme="majorBidi" w:hAnsiTheme="majorBidi" w:cstheme="majorBidi"/>
          <w:color w:val="000000" w:themeColor="text1"/>
          <w:szCs w:val="16"/>
        </w:rPr>
        <w:t>”</w:t>
      </w:r>
      <w:r w:rsidRPr="006F54BB">
        <w:rPr>
          <w:rFonts w:asciiTheme="majorBidi" w:hAnsiTheme="majorBidi" w:cstheme="majorBidi"/>
          <w:color w:val="000000" w:themeColor="text1"/>
          <w:szCs w:val="16"/>
        </w:rPr>
        <w:t>.</w:t>
      </w:r>
      <w:r w:rsidRPr="006F54BB">
        <w:rPr>
          <w:rFonts w:asciiTheme="majorBidi" w:hAnsiTheme="majorBidi" w:cstheme="majorBidi"/>
          <w:i/>
          <w:iCs/>
          <w:color w:val="000000" w:themeColor="text1"/>
          <w:szCs w:val="16"/>
        </w:rPr>
        <w:t>J Agric Food Chem</w:t>
      </w:r>
      <w:r w:rsidRPr="006F54BB">
        <w:rPr>
          <w:rFonts w:asciiTheme="majorBidi" w:hAnsiTheme="majorBidi" w:cstheme="majorBidi"/>
          <w:color w:val="000000" w:themeColor="text1"/>
          <w:szCs w:val="16"/>
        </w:rPr>
        <w:t xml:space="preserve">. </w:t>
      </w:r>
      <w:r w:rsidR="006E638B">
        <w:rPr>
          <w:rFonts w:asciiTheme="majorBidi" w:hAnsiTheme="majorBidi" w:cstheme="majorBidi"/>
          <w:color w:val="000000" w:themeColor="text1"/>
          <w:szCs w:val="16"/>
        </w:rPr>
        <w:t>Vol.</w:t>
      </w:r>
      <w:r w:rsidRPr="006E638B">
        <w:rPr>
          <w:rFonts w:asciiTheme="majorBidi" w:hAnsiTheme="majorBidi" w:cstheme="majorBidi"/>
          <w:bCs/>
          <w:color w:val="000000" w:themeColor="text1"/>
          <w:szCs w:val="16"/>
        </w:rPr>
        <w:t>52</w:t>
      </w:r>
      <w:r w:rsidR="006E638B">
        <w:rPr>
          <w:rFonts w:asciiTheme="majorBidi" w:hAnsiTheme="majorBidi" w:cstheme="majorBidi"/>
          <w:color w:val="000000" w:themeColor="text1"/>
          <w:szCs w:val="16"/>
        </w:rPr>
        <w:t>, pp.</w:t>
      </w:r>
      <w:r w:rsidR="00F46525">
        <w:rPr>
          <w:rFonts w:asciiTheme="majorBidi" w:hAnsiTheme="majorBidi" w:cstheme="majorBidi"/>
          <w:color w:val="000000" w:themeColor="text1"/>
          <w:szCs w:val="16"/>
        </w:rPr>
        <w:t>4026-4037</w:t>
      </w:r>
      <w:r w:rsidR="00CE4989">
        <w:rPr>
          <w:rFonts w:asciiTheme="majorBidi" w:hAnsiTheme="majorBidi" w:cstheme="majorBidi"/>
          <w:color w:val="000000" w:themeColor="text1"/>
          <w:szCs w:val="16"/>
        </w:rPr>
        <w:t>,</w:t>
      </w:r>
      <w:r w:rsidR="00CE4989" w:rsidRPr="006F54BB">
        <w:rPr>
          <w:rFonts w:asciiTheme="majorBidi" w:hAnsiTheme="majorBidi" w:cstheme="majorBidi"/>
          <w:color w:val="000000" w:themeColor="text1"/>
          <w:szCs w:val="16"/>
        </w:rPr>
        <w:t>2004</w:t>
      </w:r>
      <w:r w:rsidR="00F46525">
        <w:rPr>
          <w:rFonts w:asciiTheme="majorBidi" w:hAnsiTheme="majorBidi" w:cstheme="majorBidi"/>
          <w:color w:val="000000" w:themeColor="text1"/>
          <w:szCs w:val="16"/>
        </w:rPr>
        <w:t>.</w:t>
      </w:r>
    </w:p>
    <w:sectPr w:rsidR="00906F74" w:rsidRPr="00F46525" w:rsidSect="009407F6">
      <w:type w:val="continuous"/>
      <w:pgSz w:w="12240" w:h="15840" w:code="1"/>
      <w:pgMar w:top="1077" w:right="811" w:bottom="2438" w:left="811" w:header="426" w:footer="709" w:gutter="0"/>
      <w:cols w:num="2" w:space="23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1C" w:rsidRDefault="00CB3A1C" w:rsidP="00FE51EB">
      <w:r>
        <w:separator/>
      </w:r>
    </w:p>
  </w:endnote>
  <w:endnote w:type="continuationSeparator" w:id="1">
    <w:p w:rsidR="00CB3A1C" w:rsidRDefault="00CB3A1C" w:rsidP="00FE51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1C" w:rsidRDefault="00CB3A1C" w:rsidP="00FE51EB">
      <w:r>
        <w:separator/>
      </w:r>
    </w:p>
  </w:footnote>
  <w:footnote w:type="continuationSeparator" w:id="1">
    <w:p w:rsidR="00CB3A1C" w:rsidRDefault="00CB3A1C" w:rsidP="00FE5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F6" w:rsidRDefault="009407F6" w:rsidP="009407F6">
    <w:pPr>
      <w:autoSpaceDE w:val="0"/>
      <w:autoSpaceDN w:val="0"/>
      <w:adjustRightInd w:val="0"/>
      <w:rPr>
        <w:rFonts w:ascii="Arial" w:hAnsi="Arial" w:cs="Arial"/>
        <w:sz w:val="16"/>
        <w:szCs w:val="16"/>
        <w:lang w:eastAsia="fr-FR"/>
      </w:rPr>
    </w:pPr>
    <w:r>
      <w:rPr>
        <w:rFonts w:ascii="Arial" w:hAnsi="Arial" w:cs="Arial"/>
        <w:sz w:val="16"/>
        <w:szCs w:val="16"/>
        <w:lang w:eastAsia="fr-FR"/>
      </w:rPr>
      <w:t>3ème conférence Internationale des énergies renouvelables CIER-2015</w:t>
    </w:r>
  </w:p>
  <w:p w:rsidR="009407F6" w:rsidRPr="003C557F" w:rsidRDefault="009407F6" w:rsidP="009407F6">
    <w:pPr>
      <w:pStyle w:val="En-tte"/>
      <w:rPr>
        <w:lang w:val="en-US"/>
      </w:rPr>
    </w:pPr>
    <w:r w:rsidRPr="003C557F">
      <w:rPr>
        <w:rFonts w:ascii="Arial" w:hAnsi="Arial" w:cs="Arial"/>
        <w:sz w:val="16"/>
        <w:szCs w:val="16"/>
        <w:lang w:val="en-US" w:eastAsia="fr-FR"/>
      </w:rPr>
      <w:t>International Journal of Scientific Research &amp; Engineering Technology (IJSET)</w:t>
    </w:r>
  </w:p>
  <w:p w:rsidR="009407F6" w:rsidRPr="009407F6" w:rsidRDefault="009407F6">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1DC"/>
    <w:multiLevelType w:val="hybridMultilevel"/>
    <w:tmpl w:val="AC5E0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73BCF"/>
    <w:multiLevelType w:val="hybridMultilevel"/>
    <w:tmpl w:val="73F270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574"/>
        </w:tabs>
        <w:ind w:left="574"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07D6BD0"/>
    <w:multiLevelType w:val="hybridMultilevel"/>
    <w:tmpl w:val="764CD558"/>
    <w:lvl w:ilvl="0" w:tplc="040C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EB6CFD"/>
    <w:multiLevelType w:val="hybridMultilevel"/>
    <w:tmpl w:val="006698A0"/>
    <w:lvl w:ilvl="0" w:tplc="42320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016FF"/>
    <w:multiLevelType w:val="hybridMultilevel"/>
    <w:tmpl w:val="F8045A34"/>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02FCA"/>
    <w:multiLevelType w:val="hybridMultilevel"/>
    <w:tmpl w:val="3BD0189E"/>
    <w:lvl w:ilvl="0" w:tplc="040C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890A59"/>
    <w:multiLevelType w:val="hybridMultilevel"/>
    <w:tmpl w:val="12AEFC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DD7101"/>
    <w:multiLevelType w:val="hybridMultilevel"/>
    <w:tmpl w:val="1E94541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224E6C"/>
    <w:rsid w:val="000262A7"/>
    <w:rsid w:val="00030706"/>
    <w:rsid w:val="00065007"/>
    <w:rsid w:val="000A754E"/>
    <w:rsid w:val="000D40F9"/>
    <w:rsid w:val="00113364"/>
    <w:rsid w:val="00144771"/>
    <w:rsid w:val="001529AC"/>
    <w:rsid w:val="001540FE"/>
    <w:rsid w:val="001F72D4"/>
    <w:rsid w:val="00224E6C"/>
    <w:rsid w:val="00227C57"/>
    <w:rsid w:val="00233E49"/>
    <w:rsid w:val="00236A4F"/>
    <w:rsid w:val="00264167"/>
    <w:rsid w:val="00270DC4"/>
    <w:rsid w:val="002803D0"/>
    <w:rsid w:val="002A3025"/>
    <w:rsid w:val="003851B2"/>
    <w:rsid w:val="00385AF7"/>
    <w:rsid w:val="003B2C45"/>
    <w:rsid w:val="00405473"/>
    <w:rsid w:val="00454412"/>
    <w:rsid w:val="004611DC"/>
    <w:rsid w:val="00466B28"/>
    <w:rsid w:val="004767F3"/>
    <w:rsid w:val="00483BB8"/>
    <w:rsid w:val="004E1D3A"/>
    <w:rsid w:val="004F2525"/>
    <w:rsid w:val="00546138"/>
    <w:rsid w:val="005A18DA"/>
    <w:rsid w:val="005A3AC2"/>
    <w:rsid w:val="005C3605"/>
    <w:rsid w:val="005F6B3F"/>
    <w:rsid w:val="00643DFF"/>
    <w:rsid w:val="0064636A"/>
    <w:rsid w:val="00654DE6"/>
    <w:rsid w:val="006C56BD"/>
    <w:rsid w:val="006D252B"/>
    <w:rsid w:val="006E638B"/>
    <w:rsid w:val="006F4009"/>
    <w:rsid w:val="006F4CFB"/>
    <w:rsid w:val="006F54BB"/>
    <w:rsid w:val="00722101"/>
    <w:rsid w:val="007329E3"/>
    <w:rsid w:val="007632E6"/>
    <w:rsid w:val="00763A01"/>
    <w:rsid w:val="00770C12"/>
    <w:rsid w:val="00797D47"/>
    <w:rsid w:val="007D6314"/>
    <w:rsid w:val="007D72E2"/>
    <w:rsid w:val="007E1401"/>
    <w:rsid w:val="008066FC"/>
    <w:rsid w:val="0083717A"/>
    <w:rsid w:val="00841279"/>
    <w:rsid w:val="008A348C"/>
    <w:rsid w:val="008D2959"/>
    <w:rsid w:val="008E298D"/>
    <w:rsid w:val="008F797D"/>
    <w:rsid w:val="00906F74"/>
    <w:rsid w:val="009407F6"/>
    <w:rsid w:val="0098237B"/>
    <w:rsid w:val="0099223E"/>
    <w:rsid w:val="009E6250"/>
    <w:rsid w:val="00AB75F3"/>
    <w:rsid w:val="00B27E9D"/>
    <w:rsid w:val="00BC6E73"/>
    <w:rsid w:val="00BE2C06"/>
    <w:rsid w:val="00BF3CD8"/>
    <w:rsid w:val="00C01537"/>
    <w:rsid w:val="00C47040"/>
    <w:rsid w:val="00C538BF"/>
    <w:rsid w:val="00C60DA8"/>
    <w:rsid w:val="00CB3A1C"/>
    <w:rsid w:val="00CC7BBA"/>
    <w:rsid w:val="00CD7CCE"/>
    <w:rsid w:val="00CE4989"/>
    <w:rsid w:val="00D17AE4"/>
    <w:rsid w:val="00D34C5B"/>
    <w:rsid w:val="00D535EF"/>
    <w:rsid w:val="00D66C7F"/>
    <w:rsid w:val="00D94788"/>
    <w:rsid w:val="00DD4B0F"/>
    <w:rsid w:val="00E00C18"/>
    <w:rsid w:val="00E21666"/>
    <w:rsid w:val="00E442E3"/>
    <w:rsid w:val="00E733B3"/>
    <w:rsid w:val="00ED33FA"/>
    <w:rsid w:val="00F16299"/>
    <w:rsid w:val="00F46525"/>
    <w:rsid w:val="00F63A0A"/>
    <w:rsid w:val="00F65585"/>
    <w:rsid w:val="00FA146E"/>
    <w:rsid w:val="00FD4F85"/>
    <w:rsid w:val="00FE51E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6C"/>
  </w:style>
  <w:style w:type="paragraph" w:styleId="Titre2">
    <w:name w:val="heading 2"/>
    <w:basedOn w:val="Normal"/>
    <w:next w:val="Normal"/>
    <w:link w:val="Titre2Car"/>
    <w:uiPriority w:val="9"/>
    <w:unhideWhenUsed/>
    <w:qFormat/>
    <w:rsid w:val="00224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D40F9"/>
    <w:pPr>
      <w:keepNext/>
      <w:numPr>
        <w:ilvl w:val="2"/>
        <w:numId w:val="8"/>
      </w:numPr>
      <w:spacing w:before="240" w:after="60"/>
      <w:jc w:val="left"/>
      <w:outlineLvl w:val="2"/>
    </w:pPr>
    <w:rPr>
      <w:rFonts w:ascii="Arial" w:eastAsia="SimSun" w:hAnsi="Arial" w:cs="Arial"/>
      <w:b/>
      <w:bCs/>
      <w:sz w:val="26"/>
      <w:szCs w:val="26"/>
      <w:lang w:val="en-AU" w:eastAsia="zh-CN"/>
    </w:rPr>
  </w:style>
  <w:style w:type="paragraph" w:styleId="Titre6">
    <w:name w:val="heading 6"/>
    <w:basedOn w:val="Normal"/>
    <w:next w:val="Normal"/>
    <w:link w:val="Titre6Car"/>
    <w:qFormat/>
    <w:rsid w:val="00224E6C"/>
    <w:pPr>
      <w:keepNext/>
      <w:outlineLvl w:val="5"/>
    </w:pPr>
    <w:rPr>
      <w:rFonts w:ascii="Times New Roman" w:eastAsia="Times New Roman" w:hAnsi="Times New Roman"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224E6C"/>
    <w:rPr>
      <w:rFonts w:ascii="Times New Roman" w:eastAsia="Times New Roman" w:hAnsi="Times New Roman" w:cs="Times New Roman"/>
      <w:sz w:val="28"/>
      <w:szCs w:val="20"/>
      <w:lang w:eastAsia="fr-FR"/>
    </w:rPr>
  </w:style>
  <w:style w:type="character" w:customStyle="1" w:styleId="Titre2Car">
    <w:name w:val="Titre 2 Car"/>
    <w:basedOn w:val="Policepardfaut"/>
    <w:link w:val="Titre2"/>
    <w:uiPriority w:val="9"/>
    <w:rsid w:val="00224E6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224E6C"/>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
    <w:name w:val="Para"/>
    <w:basedOn w:val="Normal"/>
    <w:qFormat/>
    <w:rsid w:val="00224E6C"/>
    <w:pPr>
      <w:spacing w:before="120" w:after="120" w:line="360" w:lineRule="auto"/>
    </w:pPr>
    <w:rPr>
      <w:rFonts w:ascii="Times New Roman" w:eastAsia="Times New Roman" w:hAnsi="Times New Roman" w:cs="Times New Roman"/>
      <w:sz w:val="24"/>
      <w:szCs w:val="20"/>
      <w:lang w:val="fr-CA" w:eastAsia="fr-FR"/>
    </w:rPr>
  </w:style>
  <w:style w:type="paragraph" w:styleId="Textedebulles">
    <w:name w:val="Balloon Text"/>
    <w:basedOn w:val="Normal"/>
    <w:link w:val="TextedebullesCar"/>
    <w:uiPriority w:val="99"/>
    <w:semiHidden/>
    <w:unhideWhenUsed/>
    <w:rsid w:val="00224E6C"/>
    <w:rPr>
      <w:rFonts w:ascii="Tahoma" w:hAnsi="Tahoma" w:cs="Tahoma"/>
      <w:sz w:val="16"/>
      <w:szCs w:val="16"/>
    </w:rPr>
  </w:style>
  <w:style w:type="character" w:customStyle="1" w:styleId="TextedebullesCar">
    <w:name w:val="Texte de bulles Car"/>
    <w:basedOn w:val="Policepardfaut"/>
    <w:link w:val="Textedebulles"/>
    <w:uiPriority w:val="99"/>
    <w:semiHidden/>
    <w:rsid w:val="00224E6C"/>
    <w:rPr>
      <w:rFonts w:ascii="Tahoma" w:hAnsi="Tahoma" w:cs="Tahoma"/>
      <w:sz w:val="16"/>
      <w:szCs w:val="16"/>
    </w:rPr>
  </w:style>
  <w:style w:type="table" w:customStyle="1" w:styleId="Tableausimple11">
    <w:name w:val="Tableau simple 11"/>
    <w:basedOn w:val="TableauNormal"/>
    <w:uiPriority w:val="41"/>
    <w:rsid w:val="00C015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6Couleur1">
    <w:name w:val="Tableau Grille 6 Couleur1"/>
    <w:basedOn w:val="TableauNormal"/>
    <w:uiPriority w:val="51"/>
    <w:rsid w:val="00C01537"/>
    <w:rPr>
      <w:rFonts w:ascii="Times New Roman" w:eastAsia="Times New Roman" w:hAnsi="Times New Roman" w:cs="Times New Roman"/>
      <w:color w:val="000000" w:themeColor="text1"/>
      <w:sz w:val="20"/>
      <w:szCs w:val="20"/>
      <w:lang w:eastAsia="fr-F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841279"/>
    <w:rPr>
      <w:color w:val="0000FF" w:themeColor="hyperlink"/>
      <w:u w:val="single"/>
    </w:rPr>
  </w:style>
  <w:style w:type="paragraph" w:styleId="Paragraphedeliste">
    <w:name w:val="List Paragraph"/>
    <w:basedOn w:val="Normal"/>
    <w:uiPriority w:val="34"/>
    <w:qFormat/>
    <w:rsid w:val="00F63A0A"/>
    <w:pPr>
      <w:ind w:left="720"/>
      <w:contextualSpacing/>
    </w:pPr>
  </w:style>
  <w:style w:type="paragraph" w:styleId="En-tte">
    <w:name w:val="header"/>
    <w:basedOn w:val="Normal"/>
    <w:link w:val="En-tteCar"/>
    <w:uiPriority w:val="99"/>
    <w:unhideWhenUsed/>
    <w:rsid w:val="00FE51EB"/>
    <w:pPr>
      <w:tabs>
        <w:tab w:val="center" w:pos="4536"/>
        <w:tab w:val="right" w:pos="9072"/>
      </w:tabs>
    </w:pPr>
  </w:style>
  <w:style w:type="character" w:customStyle="1" w:styleId="En-tteCar">
    <w:name w:val="En-tête Car"/>
    <w:basedOn w:val="Policepardfaut"/>
    <w:link w:val="En-tte"/>
    <w:uiPriority w:val="99"/>
    <w:rsid w:val="00FE51EB"/>
  </w:style>
  <w:style w:type="paragraph" w:styleId="Pieddepage">
    <w:name w:val="footer"/>
    <w:basedOn w:val="Normal"/>
    <w:link w:val="PieddepageCar"/>
    <w:uiPriority w:val="99"/>
    <w:unhideWhenUsed/>
    <w:rsid w:val="00FE51EB"/>
    <w:pPr>
      <w:tabs>
        <w:tab w:val="center" w:pos="4536"/>
        <w:tab w:val="right" w:pos="9072"/>
      </w:tabs>
    </w:pPr>
  </w:style>
  <w:style w:type="character" w:customStyle="1" w:styleId="PieddepageCar">
    <w:name w:val="Pied de page Car"/>
    <w:basedOn w:val="Policepardfaut"/>
    <w:link w:val="Pieddepage"/>
    <w:uiPriority w:val="99"/>
    <w:rsid w:val="00FE51EB"/>
  </w:style>
  <w:style w:type="character" w:customStyle="1" w:styleId="Titre3Car">
    <w:name w:val="Titre 3 Car"/>
    <w:basedOn w:val="Policepardfaut"/>
    <w:link w:val="Titre3"/>
    <w:rsid w:val="000D40F9"/>
    <w:rPr>
      <w:rFonts w:ascii="Arial" w:eastAsia="SimSun" w:hAnsi="Arial" w:cs="Arial"/>
      <w:b/>
      <w:bCs/>
      <w:sz w:val="26"/>
      <w:szCs w:val="26"/>
      <w:lang w:val="en-AU" w:eastAsia="zh-CN"/>
    </w:rPr>
  </w:style>
  <w:style w:type="paragraph" w:customStyle="1" w:styleId="IEEEReferenceItem">
    <w:name w:val="IEEE Reference Item"/>
    <w:basedOn w:val="Normal"/>
    <w:rsid w:val="000D40F9"/>
    <w:pPr>
      <w:numPr>
        <w:numId w:val="8"/>
      </w:numPr>
      <w:tabs>
        <w:tab w:val="clear" w:pos="574"/>
        <w:tab w:val="num" w:pos="432"/>
      </w:tabs>
      <w:adjustRightInd w:val="0"/>
      <w:snapToGrid w:val="0"/>
      <w:ind w:left="432"/>
    </w:pPr>
    <w:rPr>
      <w:rFonts w:ascii="Times New Roman" w:eastAsia="SimSun" w:hAnsi="Times New Roman" w:cs="Times New Roman"/>
      <w:sz w:val="16"/>
      <w:szCs w:val="24"/>
      <w:lang w:val="en-US" w:eastAsia="zh-CN"/>
    </w:rPr>
  </w:style>
  <w:style w:type="character" w:customStyle="1" w:styleId="st1">
    <w:name w:val="st1"/>
    <w:rsid w:val="00236A4F"/>
  </w:style>
  <w:style w:type="paragraph" w:styleId="Lgende">
    <w:name w:val="caption"/>
    <w:basedOn w:val="Normal"/>
    <w:next w:val="Normal"/>
    <w:uiPriority w:val="35"/>
    <w:semiHidden/>
    <w:unhideWhenUsed/>
    <w:qFormat/>
    <w:rsid w:val="001540FE"/>
    <w:pPr>
      <w:spacing w:before="567" w:after="567"/>
      <w:jc w:val="left"/>
    </w:pPr>
    <w:rPr>
      <w:rFonts w:ascii="Times New Roman" w:eastAsia="Times New Roman" w:hAnsi="Times New Roman" w:cs="Times New Roman"/>
      <w:i/>
      <w:kern w:val="28"/>
      <w:sz w:val="20"/>
      <w:szCs w:val="20"/>
      <w:lang w:val="en-GB" w:eastAsia="es-ES"/>
    </w:rPr>
  </w:style>
  <w:style w:type="paragraph" w:customStyle="1" w:styleId="Default">
    <w:name w:val="Default"/>
    <w:rsid w:val="001540FE"/>
    <w:pPr>
      <w:autoSpaceDE w:val="0"/>
      <w:autoSpaceDN w:val="0"/>
      <w:adjustRightInd w:val="0"/>
      <w:jc w:val="left"/>
    </w:pPr>
    <w:rPr>
      <w:rFonts w:ascii="Times New Roman" w:eastAsia="Times New Roman" w:hAnsi="Times New Roman" w:cs="Times New Roman"/>
      <w:color w:val="000000"/>
      <w:sz w:val="24"/>
      <w:szCs w:val="24"/>
      <w:lang w:eastAsia="fr-FR"/>
    </w:rPr>
  </w:style>
  <w:style w:type="character" w:customStyle="1" w:styleId="st">
    <w:name w:val="st"/>
    <w:basedOn w:val="Policepardfaut"/>
    <w:rsid w:val="007329E3"/>
  </w:style>
  <w:style w:type="character" w:styleId="Accentuation">
    <w:name w:val="Emphasis"/>
    <w:basedOn w:val="Policepardfaut"/>
    <w:uiPriority w:val="20"/>
    <w:qFormat/>
    <w:rsid w:val="007329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6C"/>
  </w:style>
  <w:style w:type="paragraph" w:styleId="Titre2">
    <w:name w:val="heading 2"/>
    <w:basedOn w:val="Normal"/>
    <w:next w:val="Normal"/>
    <w:link w:val="Titre2Car"/>
    <w:uiPriority w:val="9"/>
    <w:unhideWhenUsed/>
    <w:qFormat/>
    <w:rsid w:val="00224E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D40F9"/>
    <w:pPr>
      <w:keepNext/>
      <w:numPr>
        <w:ilvl w:val="2"/>
        <w:numId w:val="8"/>
      </w:numPr>
      <w:spacing w:before="240" w:after="60"/>
      <w:jc w:val="left"/>
      <w:outlineLvl w:val="2"/>
    </w:pPr>
    <w:rPr>
      <w:rFonts w:ascii="Arial" w:eastAsia="SimSun" w:hAnsi="Arial" w:cs="Arial"/>
      <w:b/>
      <w:bCs/>
      <w:sz w:val="26"/>
      <w:szCs w:val="26"/>
      <w:lang w:val="en-AU" w:eastAsia="zh-CN"/>
    </w:rPr>
  </w:style>
  <w:style w:type="paragraph" w:styleId="Titre6">
    <w:name w:val="heading 6"/>
    <w:basedOn w:val="Normal"/>
    <w:next w:val="Normal"/>
    <w:link w:val="Titre6Car"/>
    <w:qFormat/>
    <w:rsid w:val="00224E6C"/>
    <w:pPr>
      <w:keepNext/>
      <w:outlineLvl w:val="5"/>
    </w:pPr>
    <w:rPr>
      <w:rFonts w:ascii="Times New Roman" w:eastAsia="Times New Roman" w:hAnsi="Times New Roman"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224E6C"/>
    <w:rPr>
      <w:rFonts w:ascii="Times New Roman" w:eastAsia="Times New Roman" w:hAnsi="Times New Roman" w:cs="Times New Roman"/>
      <w:sz w:val="28"/>
      <w:szCs w:val="20"/>
      <w:lang w:eastAsia="fr-FR"/>
    </w:rPr>
  </w:style>
  <w:style w:type="character" w:customStyle="1" w:styleId="Titre2Car">
    <w:name w:val="Titre 2 Car"/>
    <w:basedOn w:val="Policepardfaut"/>
    <w:link w:val="Titre2"/>
    <w:uiPriority w:val="9"/>
    <w:rsid w:val="00224E6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224E6C"/>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
    <w:name w:val="Para"/>
    <w:basedOn w:val="Normal"/>
    <w:qFormat/>
    <w:rsid w:val="00224E6C"/>
    <w:pPr>
      <w:spacing w:before="120" w:after="120" w:line="360" w:lineRule="auto"/>
    </w:pPr>
    <w:rPr>
      <w:rFonts w:ascii="Times New Roman" w:eastAsia="Times New Roman" w:hAnsi="Times New Roman" w:cs="Times New Roman"/>
      <w:sz w:val="24"/>
      <w:szCs w:val="20"/>
      <w:lang w:val="fr-CA" w:eastAsia="fr-FR"/>
    </w:rPr>
  </w:style>
  <w:style w:type="paragraph" w:styleId="Textedebulles">
    <w:name w:val="Balloon Text"/>
    <w:basedOn w:val="Normal"/>
    <w:link w:val="TextedebullesCar"/>
    <w:uiPriority w:val="99"/>
    <w:semiHidden/>
    <w:unhideWhenUsed/>
    <w:rsid w:val="00224E6C"/>
    <w:rPr>
      <w:rFonts w:ascii="Tahoma" w:hAnsi="Tahoma" w:cs="Tahoma"/>
      <w:sz w:val="16"/>
      <w:szCs w:val="16"/>
    </w:rPr>
  </w:style>
  <w:style w:type="character" w:customStyle="1" w:styleId="TextedebullesCar">
    <w:name w:val="Texte de bulles Car"/>
    <w:basedOn w:val="Policepardfaut"/>
    <w:link w:val="Textedebulles"/>
    <w:uiPriority w:val="99"/>
    <w:semiHidden/>
    <w:rsid w:val="00224E6C"/>
    <w:rPr>
      <w:rFonts w:ascii="Tahoma" w:hAnsi="Tahoma" w:cs="Tahoma"/>
      <w:sz w:val="16"/>
      <w:szCs w:val="16"/>
    </w:rPr>
  </w:style>
  <w:style w:type="table" w:customStyle="1" w:styleId="Tableausimple11">
    <w:name w:val="Tableau simple 11"/>
    <w:basedOn w:val="TableauNormal"/>
    <w:uiPriority w:val="41"/>
    <w:rsid w:val="00C015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6Couleur1">
    <w:name w:val="Tableau Grille 6 Couleur1"/>
    <w:basedOn w:val="TableauNormal"/>
    <w:uiPriority w:val="51"/>
    <w:rsid w:val="00C01537"/>
    <w:rPr>
      <w:rFonts w:ascii="Times New Roman" w:eastAsia="Times New Roman" w:hAnsi="Times New Roman" w:cs="Times New Roman"/>
      <w:color w:val="000000" w:themeColor="text1"/>
      <w:sz w:val="20"/>
      <w:szCs w:val="20"/>
      <w:lang w:eastAsia="fr-F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841279"/>
    <w:rPr>
      <w:color w:val="0000FF" w:themeColor="hyperlink"/>
      <w:u w:val="single"/>
    </w:rPr>
  </w:style>
  <w:style w:type="paragraph" w:styleId="Paragraphedeliste">
    <w:name w:val="List Paragraph"/>
    <w:basedOn w:val="Normal"/>
    <w:uiPriority w:val="34"/>
    <w:qFormat/>
    <w:rsid w:val="00F63A0A"/>
    <w:pPr>
      <w:ind w:left="720"/>
      <w:contextualSpacing/>
    </w:pPr>
  </w:style>
  <w:style w:type="paragraph" w:styleId="En-tte">
    <w:name w:val="header"/>
    <w:basedOn w:val="Normal"/>
    <w:link w:val="En-tteCar"/>
    <w:unhideWhenUsed/>
    <w:rsid w:val="00FE51EB"/>
    <w:pPr>
      <w:tabs>
        <w:tab w:val="center" w:pos="4536"/>
        <w:tab w:val="right" w:pos="9072"/>
      </w:tabs>
    </w:pPr>
  </w:style>
  <w:style w:type="character" w:customStyle="1" w:styleId="En-tteCar">
    <w:name w:val="En-tête Car"/>
    <w:basedOn w:val="Policepardfaut"/>
    <w:link w:val="En-tte"/>
    <w:rsid w:val="00FE51EB"/>
  </w:style>
  <w:style w:type="paragraph" w:styleId="Pieddepage">
    <w:name w:val="footer"/>
    <w:basedOn w:val="Normal"/>
    <w:link w:val="PieddepageCar"/>
    <w:uiPriority w:val="99"/>
    <w:unhideWhenUsed/>
    <w:rsid w:val="00FE51EB"/>
    <w:pPr>
      <w:tabs>
        <w:tab w:val="center" w:pos="4536"/>
        <w:tab w:val="right" w:pos="9072"/>
      </w:tabs>
    </w:pPr>
  </w:style>
  <w:style w:type="character" w:customStyle="1" w:styleId="PieddepageCar">
    <w:name w:val="Pied de page Car"/>
    <w:basedOn w:val="Policepardfaut"/>
    <w:link w:val="Pieddepage"/>
    <w:uiPriority w:val="99"/>
    <w:rsid w:val="00FE51EB"/>
  </w:style>
  <w:style w:type="character" w:customStyle="1" w:styleId="Titre3Car">
    <w:name w:val="Titre 3 Car"/>
    <w:basedOn w:val="Policepardfaut"/>
    <w:link w:val="Titre3"/>
    <w:rsid w:val="000D40F9"/>
    <w:rPr>
      <w:rFonts w:ascii="Arial" w:eastAsia="SimSun" w:hAnsi="Arial" w:cs="Arial"/>
      <w:b/>
      <w:bCs/>
      <w:sz w:val="26"/>
      <w:szCs w:val="26"/>
      <w:lang w:val="en-AU" w:eastAsia="zh-CN"/>
    </w:rPr>
  </w:style>
  <w:style w:type="paragraph" w:customStyle="1" w:styleId="IEEEReferenceItem">
    <w:name w:val="IEEE Reference Item"/>
    <w:basedOn w:val="Normal"/>
    <w:rsid w:val="000D40F9"/>
    <w:pPr>
      <w:numPr>
        <w:numId w:val="8"/>
      </w:numPr>
      <w:tabs>
        <w:tab w:val="clear" w:pos="574"/>
        <w:tab w:val="num" w:pos="432"/>
      </w:tabs>
      <w:adjustRightInd w:val="0"/>
      <w:snapToGrid w:val="0"/>
      <w:ind w:left="432"/>
    </w:pPr>
    <w:rPr>
      <w:rFonts w:ascii="Times New Roman" w:eastAsia="SimSun" w:hAnsi="Times New Roman" w:cs="Times New Roman"/>
      <w:sz w:val="16"/>
      <w:szCs w:val="24"/>
      <w:lang w:val="en-US" w:eastAsia="zh-CN"/>
    </w:rPr>
  </w:style>
  <w:style w:type="character" w:customStyle="1" w:styleId="st1">
    <w:name w:val="st1"/>
    <w:rsid w:val="00236A4F"/>
  </w:style>
  <w:style w:type="paragraph" w:styleId="Lgende">
    <w:name w:val="caption"/>
    <w:basedOn w:val="Normal"/>
    <w:next w:val="Normal"/>
    <w:uiPriority w:val="35"/>
    <w:semiHidden/>
    <w:unhideWhenUsed/>
    <w:qFormat/>
    <w:rsid w:val="001540FE"/>
    <w:pPr>
      <w:spacing w:before="567" w:after="567"/>
      <w:jc w:val="left"/>
    </w:pPr>
    <w:rPr>
      <w:rFonts w:ascii="Times New Roman" w:eastAsia="Times New Roman" w:hAnsi="Times New Roman" w:cs="Times New Roman"/>
      <w:i/>
      <w:kern w:val="28"/>
      <w:sz w:val="20"/>
      <w:szCs w:val="20"/>
      <w:lang w:val="en-GB" w:eastAsia="es-ES"/>
    </w:rPr>
  </w:style>
  <w:style w:type="paragraph" w:customStyle="1" w:styleId="Default">
    <w:name w:val="Default"/>
    <w:rsid w:val="001540FE"/>
    <w:pPr>
      <w:autoSpaceDE w:val="0"/>
      <w:autoSpaceDN w:val="0"/>
      <w:adjustRightInd w:val="0"/>
      <w:jc w:val="left"/>
    </w:pPr>
    <w:rPr>
      <w:rFonts w:ascii="Times New Roman" w:eastAsia="Times New Roman" w:hAnsi="Times New Roman" w:cs="Times New Roman"/>
      <w:color w:val="000000"/>
      <w:sz w:val="24"/>
      <w:szCs w:val="24"/>
      <w:lang w:eastAsia="fr-FR"/>
    </w:rPr>
  </w:style>
  <w:style w:type="character" w:customStyle="1" w:styleId="st">
    <w:name w:val="st"/>
    <w:basedOn w:val="Policepardfaut"/>
    <w:rsid w:val="007329E3"/>
  </w:style>
  <w:style w:type="character" w:styleId="Accentuation">
    <w:name w:val="Emphasis"/>
    <w:basedOn w:val="Policepardfaut"/>
    <w:uiPriority w:val="20"/>
    <w:qFormat/>
    <w:rsid w:val="007329E3"/>
    <w:rPr>
      <w:i/>
      <w:iCs/>
    </w:rPr>
  </w:style>
</w:styles>
</file>

<file path=word/webSettings.xml><?xml version="1.0" encoding="utf-8"?>
<w:webSettings xmlns:r="http://schemas.openxmlformats.org/officeDocument/2006/relationships" xmlns:w="http://schemas.openxmlformats.org/wordprocessingml/2006/main">
  <w:divs>
    <w:div w:id="193007966">
      <w:bodyDiv w:val="1"/>
      <w:marLeft w:val="0"/>
      <w:marRight w:val="0"/>
      <w:marTop w:val="0"/>
      <w:marBottom w:val="0"/>
      <w:divBdr>
        <w:top w:val="none" w:sz="0" w:space="0" w:color="auto"/>
        <w:left w:val="none" w:sz="0" w:space="0" w:color="auto"/>
        <w:bottom w:val="none" w:sz="0" w:space="0" w:color="auto"/>
        <w:right w:val="none" w:sz="0" w:space="0" w:color="auto"/>
      </w:divBdr>
    </w:div>
    <w:div w:id="992609388">
      <w:bodyDiv w:val="1"/>
      <w:marLeft w:val="0"/>
      <w:marRight w:val="0"/>
      <w:marTop w:val="0"/>
      <w:marBottom w:val="0"/>
      <w:divBdr>
        <w:top w:val="none" w:sz="0" w:space="0" w:color="auto"/>
        <w:left w:val="none" w:sz="0" w:space="0" w:color="auto"/>
        <w:bottom w:val="none" w:sz="0" w:space="0" w:color="auto"/>
        <w:right w:val="none" w:sz="0" w:space="0" w:color="auto"/>
      </w:divBdr>
    </w:div>
    <w:div w:id="1027561874">
      <w:bodyDiv w:val="1"/>
      <w:marLeft w:val="0"/>
      <w:marRight w:val="0"/>
      <w:marTop w:val="0"/>
      <w:marBottom w:val="0"/>
      <w:divBdr>
        <w:top w:val="none" w:sz="0" w:space="0" w:color="auto"/>
        <w:left w:val="none" w:sz="0" w:space="0" w:color="auto"/>
        <w:bottom w:val="none" w:sz="0" w:space="0" w:color="auto"/>
        <w:right w:val="none" w:sz="0" w:space="0" w:color="auto"/>
      </w:divBdr>
    </w:div>
    <w:div w:id="1100835517">
      <w:bodyDiv w:val="1"/>
      <w:marLeft w:val="0"/>
      <w:marRight w:val="0"/>
      <w:marTop w:val="0"/>
      <w:marBottom w:val="0"/>
      <w:divBdr>
        <w:top w:val="none" w:sz="0" w:space="0" w:color="auto"/>
        <w:left w:val="none" w:sz="0" w:space="0" w:color="auto"/>
        <w:bottom w:val="none" w:sz="0" w:space="0" w:color="auto"/>
        <w:right w:val="none" w:sz="0" w:space="0" w:color="auto"/>
      </w:divBdr>
    </w:div>
    <w:div w:id="16263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ratiba.derriche@g.enp.edu.dz" TargetMode="External"/><Relationship Id="rId12" Type="http://schemas.openxmlformats.org/officeDocument/2006/relationships/chart" Target="charts/chart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ida\Desktop\resultats%20AA%20et%20PP\AA%20hydrol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ida\Desktop\resultats%20AA%20et%20PP\AA%20hydrol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ida\Desktop\resultats%20AA%20et%20PP\AA%20hydrola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R&#233;sultats%20exp&#233;rimentaux\R&#233;sultats%20experimentaux%20extratcion%20par%20solvant%20(R,%20AA%20et%20T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772174426377518"/>
          <c:y val="5.4760914108069519E-2"/>
          <c:w val="0.78565213267765588"/>
          <c:h val="0.84591212442834196"/>
        </c:manualLayout>
      </c:layout>
      <c:scatterChart>
        <c:scatterStyle val="lineMarker"/>
        <c:ser>
          <c:idx val="0"/>
          <c:order val="0"/>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plus>
              <c:numRef>
                <c:f>'AA hydrolat'!$R$83:$R$87</c:f>
                <c:numCache>
                  <c:formatCode>General</c:formatCode>
                  <c:ptCount val="5"/>
                  <c:pt idx="0">
                    <c:v>1.4579552252262419E-3</c:v>
                  </c:pt>
                  <c:pt idx="1">
                    <c:v>4.5454545454545407E-2</c:v>
                  </c:pt>
                  <c:pt idx="2">
                    <c:v>6.5802092024219466E-2</c:v>
                  </c:pt>
                  <c:pt idx="3">
                    <c:v>5.2627942869833688E-2</c:v>
                  </c:pt>
                  <c:pt idx="4">
                    <c:v>3.4716482537544217E-2</c:v>
                  </c:pt>
                </c:numCache>
              </c:numRef>
            </c:plus>
            <c:minus>
              <c:numRef>
                <c:f>'AA hydrolat'!$R$83:$R$87</c:f>
                <c:numCache>
                  <c:formatCode>General</c:formatCode>
                  <c:ptCount val="5"/>
                  <c:pt idx="0">
                    <c:v>1.4579552252262419E-3</c:v>
                  </c:pt>
                  <c:pt idx="1">
                    <c:v>4.5454545454545407E-2</c:v>
                  </c:pt>
                  <c:pt idx="2">
                    <c:v>6.5802092024219466E-2</c:v>
                  </c:pt>
                  <c:pt idx="3">
                    <c:v>5.2627942869833688E-2</c:v>
                  </c:pt>
                  <c:pt idx="4">
                    <c:v>3.4716482537544217E-2</c:v>
                  </c:pt>
                </c:numCache>
              </c:numRef>
            </c:minus>
            <c:spPr>
              <a:noFill/>
              <a:ln w="9525" cap="flat" cmpd="sng" algn="ctr">
                <a:solidFill>
                  <a:schemeClr val="tx1">
                    <a:lumMod val="65000"/>
                    <a:lumOff val="35000"/>
                  </a:schemeClr>
                </a:solidFill>
                <a:round/>
              </a:ln>
              <a:effectLst/>
            </c:spPr>
          </c:errBars>
          <c:xVal>
            <c:numRef>
              <c:f>'AA hydrolat'!$Q$83:$Q$88</c:f>
              <c:numCache>
                <c:formatCode>0.00</c:formatCode>
                <c:ptCount val="6"/>
                <c:pt idx="0">
                  <c:v>16.744</c:v>
                </c:pt>
                <c:pt idx="1">
                  <c:v>1.6744000000000001</c:v>
                </c:pt>
                <c:pt idx="2">
                  <c:v>0.55813333333333359</c:v>
                </c:pt>
                <c:pt idx="3">
                  <c:v>0.41860000000000008</c:v>
                </c:pt>
                <c:pt idx="4">
                  <c:v>0.32200000000000012</c:v>
                </c:pt>
                <c:pt idx="5">
                  <c:v>0</c:v>
                </c:pt>
              </c:numCache>
            </c:numRef>
          </c:xVal>
          <c:yVal>
            <c:numRef>
              <c:f>'AA hydrolat'!$P$83:$P$88</c:f>
              <c:numCache>
                <c:formatCode>0.00%</c:formatCode>
                <c:ptCount val="6"/>
                <c:pt idx="0">
                  <c:v>0.89225589225589275</c:v>
                </c:pt>
                <c:pt idx="1">
                  <c:v>0.89141414141414133</c:v>
                </c:pt>
                <c:pt idx="2">
                  <c:v>0.46969696969696983</c:v>
                </c:pt>
                <c:pt idx="3">
                  <c:v>0.24326599326599332</c:v>
                </c:pt>
                <c:pt idx="4">
                  <c:v>0.1565656565656566</c:v>
                </c:pt>
                <c:pt idx="5">
                  <c:v>0</c:v>
                </c:pt>
              </c:numCache>
            </c:numRef>
          </c:yVal>
        </c:ser>
        <c:axId val="145115392"/>
        <c:axId val="156893568"/>
      </c:scatterChart>
      <c:valAx>
        <c:axId val="14511539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imes New Roman" pitchFamily="18" charset="0"/>
                    <a:cs typeface="Times New Roman" pitchFamily="18" charset="0"/>
                  </a:rPr>
                  <a:t>C (µg EAG/mL</a:t>
                </a:r>
                <a:r>
                  <a:rPr lang="en-US"/>
                  <a:t>)</a:t>
                </a:r>
              </a:p>
            </c:rich>
          </c:tx>
          <c:layout>
            <c:manualLayout>
              <c:xMode val="edge"/>
              <c:yMode val="edge"/>
              <c:x val="0.772327304500664"/>
              <c:y val="0.74449513500297293"/>
            </c:manualLayout>
          </c:layout>
          <c:spPr>
            <a:noFill/>
            <a:ln>
              <a:noFill/>
            </a:ln>
            <a:effectLst/>
          </c:spPr>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56893568"/>
        <c:crosses val="autoZero"/>
        <c:crossBetween val="midCat"/>
      </c:valAx>
      <c:valAx>
        <c:axId val="156893568"/>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800">
                    <a:solidFill>
                      <a:schemeClr val="tx1"/>
                    </a:solidFill>
                    <a:latin typeface="Times New Roman" pitchFamily="18" charset="0"/>
                    <a:cs typeface="Times New Roman" pitchFamily="18" charset="0"/>
                  </a:rPr>
                  <a:t>AA</a:t>
                </a:r>
                <a:r>
                  <a:rPr lang="fr-FR">
                    <a:solidFill>
                      <a:schemeClr val="tx1"/>
                    </a:solidFill>
                  </a:rPr>
                  <a:t> </a:t>
                </a:r>
                <a:r>
                  <a:rPr lang="fr-FR"/>
                  <a:t>(%)</a:t>
                </a:r>
              </a:p>
            </c:rich>
          </c:tx>
          <c:layout>
            <c:manualLayout>
              <c:xMode val="edge"/>
              <c:yMode val="edge"/>
              <c:x val="0.11906250000000004"/>
              <c:y val="3.8071772971012309E-2"/>
            </c:manualLayout>
          </c:layout>
          <c:spPr>
            <a:noFill/>
            <a:ln>
              <a:noFill/>
            </a:ln>
            <a:effectLst/>
          </c:spPr>
        </c:title>
        <c:numFmt formatCode="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5115392"/>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764915931371311"/>
          <c:y val="3.8761606810440156E-2"/>
          <c:w val="0.78325148457660754"/>
          <c:h val="0.84591212442834196"/>
        </c:manualLayout>
      </c:layout>
      <c:scatterChart>
        <c:scatterStyle val="lineMarker"/>
        <c:ser>
          <c:idx val="0"/>
          <c:order val="0"/>
          <c:spPr>
            <a:ln w="25400" cap="rnd">
              <a:noFill/>
              <a:round/>
            </a:ln>
            <a:effectLst/>
          </c:spPr>
          <c:marker>
            <c:symbol val="circle"/>
            <c:size val="5"/>
            <c:spPr>
              <a:solidFill>
                <a:schemeClr val="accent1"/>
              </a:solidFill>
              <a:ln w="9525">
                <a:solidFill>
                  <a:schemeClr val="accent1"/>
                </a:solidFill>
              </a:ln>
              <a:effectLst/>
            </c:spPr>
          </c:marker>
          <c:errBars>
            <c:errDir val="y"/>
            <c:errBarType val="both"/>
            <c:errValType val="cust"/>
            <c:plus>
              <c:numRef>
                <c:f>'AA hydrolat'!$R$29:$R$33</c:f>
                <c:numCache>
                  <c:formatCode>General</c:formatCode>
                  <c:ptCount val="5"/>
                  <c:pt idx="0">
                    <c:v>6.3468081597537682E-2</c:v>
                  </c:pt>
                  <c:pt idx="1">
                    <c:v>2.7908170111885264E-2</c:v>
                  </c:pt>
                  <c:pt idx="2">
                    <c:v>2.0931127583913967E-2</c:v>
                  </c:pt>
                  <c:pt idx="3">
                    <c:v>1.3844639561800102E-2</c:v>
                  </c:pt>
                  <c:pt idx="4">
                    <c:v>6.4608317955067246E-2</c:v>
                  </c:pt>
                </c:numCache>
              </c:numRef>
            </c:plus>
            <c:minus>
              <c:numRef>
                <c:f>'AA hydrolat'!$R$29:$R$33</c:f>
                <c:numCache>
                  <c:formatCode>General</c:formatCode>
                  <c:ptCount val="5"/>
                  <c:pt idx="0">
                    <c:v>6.3468081597537682E-2</c:v>
                  </c:pt>
                  <c:pt idx="1">
                    <c:v>2.7908170111885264E-2</c:v>
                  </c:pt>
                  <c:pt idx="2">
                    <c:v>2.0931127583913967E-2</c:v>
                  </c:pt>
                  <c:pt idx="3">
                    <c:v>1.3844639561800102E-2</c:v>
                  </c:pt>
                  <c:pt idx="4">
                    <c:v>6.4608317955067246E-2</c:v>
                  </c:pt>
                </c:numCache>
              </c:numRef>
            </c:minus>
            <c:spPr>
              <a:noFill/>
              <a:ln w="9525" cap="flat" cmpd="sng" algn="ctr">
                <a:solidFill>
                  <a:schemeClr val="tx1">
                    <a:lumMod val="65000"/>
                    <a:lumOff val="35000"/>
                  </a:schemeClr>
                </a:solidFill>
                <a:round/>
              </a:ln>
              <a:effectLst/>
            </c:spPr>
          </c:errBars>
          <c:xVal>
            <c:numRef>
              <c:f>'AA hydrolat'!$Q$29:$Q$34</c:f>
              <c:numCache>
                <c:formatCode>0.00</c:formatCode>
                <c:ptCount val="6"/>
                <c:pt idx="0">
                  <c:v>23.948399999999992</c:v>
                </c:pt>
                <c:pt idx="1">
                  <c:v>11.974200000000002</c:v>
                </c:pt>
                <c:pt idx="2">
                  <c:v>4.7896800000000024</c:v>
                </c:pt>
                <c:pt idx="3">
                  <c:v>2.3948399999999994</c:v>
                </c:pt>
                <c:pt idx="4">
                  <c:v>1.1974200000000002</c:v>
                </c:pt>
                <c:pt idx="5">
                  <c:v>0</c:v>
                </c:pt>
              </c:numCache>
            </c:numRef>
          </c:xVal>
          <c:yVal>
            <c:numRef>
              <c:f>'AA hydrolat'!$P$29:$P$34</c:f>
              <c:numCache>
                <c:formatCode>0.00%</c:formatCode>
                <c:ptCount val="6"/>
                <c:pt idx="0">
                  <c:v>0.83000000000000018</c:v>
                </c:pt>
                <c:pt idx="1">
                  <c:v>0.82678751258811722</c:v>
                </c:pt>
                <c:pt idx="2">
                  <c:v>0.64954682779456219</c:v>
                </c:pt>
                <c:pt idx="3">
                  <c:v>0.35347432024169206</c:v>
                </c:pt>
                <c:pt idx="4">
                  <c:v>0.20342396777442107</c:v>
                </c:pt>
                <c:pt idx="5">
                  <c:v>0</c:v>
                </c:pt>
              </c:numCache>
            </c:numRef>
          </c:yVal>
        </c:ser>
        <c:axId val="156942720"/>
        <c:axId val="156944640"/>
      </c:scatterChart>
      <c:valAx>
        <c:axId val="15694272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Times New Roman" pitchFamily="18" charset="0"/>
                    <a:cs typeface="Times New Roman" pitchFamily="18" charset="0"/>
                  </a:rPr>
                  <a:t>C (µg EAG/mL</a:t>
                </a:r>
                <a:r>
                  <a:rPr lang="en-US"/>
                  <a:t>)</a:t>
                </a:r>
              </a:p>
            </c:rich>
          </c:tx>
          <c:layout>
            <c:manualLayout>
              <c:xMode val="edge"/>
              <c:yMode val="edge"/>
              <c:x val="0.78836322496249844"/>
              <c:y val="0.75860946104390481"/>
            </c:manualLayout>
          </c:layout>
          <c:spPr>
            <a:noFill/>
            <a:ln>
              <a:noFill/>
            </a:ln>
            <a:effectLst/>
          </c:spPr>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56944640"/>
        <c:crosses val="autoZero"/>
        <c:crossBetween val="midCat"/>
      </c:valAx>
      <c:valAx>
        <c:axId val="156944640"/>
        <c:scaling>
          <c:orientation val="minMax"/>
        </c:scaling>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r>
                  <a:rPr lang="fr-FR" sz="800">
                    <a:solidFill>
                      <a:sysClr val="windowText" lastClr="000000"/>
                    </a:solidFill>
                    <a:latin typeface="Times New Roman" pitchFamily="18" charset="0"/>
                    <a:cs typeface="Times New Roman" pitchFamily="18" charset="0"/>
                  </a:rPr>
                  <a:t>AA (%)</a:t>
                </a:r>
              </a:p>
            </c:rich>
          </c:tx>
          <c:layout>
            <c:manualLayout>
              <c:xMode val="edge"/>
              <c:yMode val="edge"/>
              <c:x val="0.12537445533769068"/>
              <c:y val="5.760178909598327E-2"/>
            </c:manualLayout>
          </c:layout>
          <c:spPr>
            <a:noFill/>
            <a:ln>
              <a:noFill/>
            </a:ln>
            <a:effectLst/>
          </c:spPr>
        </c:title>
        <c:numFmt formatCode="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6942720"/>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756126427179067"/>
          <c:y val="4.0715490622975338E-2"/>
          <c:w val="0.78565213267765588"/>
          <c:h val="0.84591212442834196"/>
        </c:manualLayout>
      </c:layout>
      <c:scatterChart>
        <c:scatterStyle val="lineMarker"/>
        <c:ser>
          <c:idx val="0"/>
          <c:order val="0"/>
          <c:spPr>
            <a:ln w="25400" cap="rnd">
              <a:noFill/>
              <a:round/>
            </a:ln>
            <a:effectLst/>
          </c:spPr>
          <c:marker>
            <c:symbol val="circle"/>
            <c:size val="4"/>
            <c:spPr>
              <a:solidFill>
                <a:schemeClr val="accent1"/>
              </a:solidFill>
              <a:ln w="3175">
                <a:solidFill>
                  <a:schemeClr val="accent1"/>
                </a:solidFill>
              </a:ln>
              <a:effectLst/>
            </c:spPr>
          </c:marker>
          <c:errBars>
            <c:errDir val="y"/>
            <c:errBarType val="both"/>
            <c:errValType val="cust"/>
            <c:plus>
              <c:numRef>
                <c:f>'AA hydrolat'!$R$72:$R$79</c:f>
                <c:numCache>
                  <c:formatCode>General</c:formatCode>
                  <c:ptCount val="8"/>
                  <c:pt idx="0">
                    <c:v>1.3168878983506585E-2</c:v>
                  </c:pt>
                  <c:pt idx="1">
                    <c:v>1.22098244239498E-2</c:v>
                  </c:pt>
                  <c:pt idx="2">
                    <c:v>7.9932063778386415E-3</c:v>
                  </c:pt>
                  <c:pt idx="3">
                    <c:v>1.5986412755677321E-2</c:v>
                  </c:pt>
                  <c:pt idx="4">
                    <c:v>1.5986412755677321E-2</c:v>
                  </c:pt>
                  <c:pt idx="5">
                    <c:v>1.3597399555105204E-16</c:v>
                  </c:pt>
                  <c:pt idx="6">
                    <c:v>1.3844639561800102E-2</c:v>
                  </c:pt>
                  <c:pt idx="7">
                    <c:v>5.2327818959784717E-3</c:v>
                  </c:pt>
                </c:numCache>
              </c:numRef>
            </c:plus>
            <c:minus>
              <c:numRef>
                <c:f>'AA hydrolat'!$R$72:$R$79</c:f>
                <c:numCache>
                  <c:formatCode>General</c:formatCode>
                  <c:ptCount val="8"/>
                  <c:pt idx="0">
                    <c:v>1.3168878983506585E-2</c:v>
                  </c:pt>
                  <c:pt idx="1">
                    <c:v>1.22098244239498E-2</c:v>
                  </c:pt>
                  <c:pt idx="2">
                    <c:v>7.9932063778386415E-3</c:v>
                  </c:pt>
                  <c:pt idx="3">
                    <c:v>1.5986412755677321E-2</c:v>
                  </c:pt>
                  <c:pt idx="4">
                    <c:v>1.5986412755677321E-2</c:v>
                  </c:pt>
                  <c:pt idx="5">
                    <c:v>1.3597399555105204E-16</c:v>
                  </c:pt>
                  <c:pt idx="6">
                    <c:v>1.3844639561800102E-2</c:v>
                  </c:pt>
                  <c:pt idx="7">
                    <c:v>5.2327818959784717E-3</c:v>
                  </c:pt>
                </c:numCache>
              </c:numRef>
            </c:minus>
            <c:spPr>
              <a:noFill/>
              <a:ln w="9525" cap="flat" cmpd="sng" algn="ctr">
                <a:solidFill>
                  <a:schemeClr val="tx1">
                    <a:lumMod val="65000"/>
                    <a:lumOff val="35000"/>
                  </a:schemeClr>
                </a:solidFill>
                <a:round/>
              </a:ln>
              <a:effectLst/>
            </c:spPr>
          </c:errBars>
          <c:xVal>
            <c:numRef>
              <c:f>'AA hydrolat'!$Q$72:$Q$80</c:f>
              <c:numCache>
                <c:formatCode>0.00</c:formatCode>
                <c:ptCount val="9"/>
                <c:pt idx="0">
                  <c:v>119.31099999999999</c:v>
                </c:pt>
                <c:pt idx="1">
                  <c:v>47.72440000000001</c:v>
                </c:pt>
                <c:pt idx="2">
                  <c:v>23.862199999999984</c:v>
                </c:pt>
                <c:pt idx="3">
                  <c:v>4.7724399999999996</c:v>
                </c:pt>
                <c:pt idx="4">
                  <c:v>2.3862199999999989</c:v>
                </c:pt>
                <c:pt idx="5">
                  <c:v>1.5908133333333336</c:v>
                </c:pt>
                <c:pt idx="6">
                  <c:v>0.64492432432432445</c:v>
                </c:pt>
                <c:pt idx="7">
                  <c:v>0.5965549999999995</c:v>
                </c:pt>
                <c:pt idx="8">
                  <c:v>0</c:v>
                </c:pt>
              </c:numCache>
            </c:numRef>
          </c:xVal>
          <c:yVal>
            <c:numRef>
              <c:f>'AA hydrolat'!$P$72:$P$80</c:f>
              <c:numCache>
                <c:formatCode>0.00%</c:formatCode>
                <c:ptCount val="9"/>
                <c:pt idx="0">
                  <c:v>0.82175226586102701</c:v>
                </c:pt>
                <c:pt idx="1">
                  <c:v>0.85699899295065463</c:v>
                </c:pt>
                <c:pt idx="2">
                  <c:v>0.83685800604229632</c:v>
                </c:pt>
                <c:pt idx="3">
                  <c:v>0.83383685800604235</c:v>
                </c:pt>
                <c:pt idx="4">
                  <c:v>0.79154078549848961</c:v>
                </c:pt>
                <c:pt idx="5">
                  <c:v>0.78851963746223552</c:v>
                </c:pt>
                <c:pt idx="6">
                  <c:v>0.43202416918429032</c:v>
                </c:pt>
                <c:pt idx="7">
                  <c:v>0.28096676737160148</c:v>
                </c:pt>
                <c:pt idx="8">
                  <c:v>0</c:v>
                </c:pt>
              </c:numCache>
            </c:numRef>
          </c:yVal>
        </c:ser>
        <c:axId val="145017088"/>
        <c:axId val="156967296"/>
      </c:scatterChart>
      <c:valAx>
        <c:axId val="145017088"/>
        <c:scaling>
          <c:orientation val="minMax"/>
          <c:max val="50"/>
        </c:scaling>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r>
                  <a:rPr lang="en-US" sz="800">
                    <a:solidFill>
                      <a:sysClr val="windowText" lastClr="000000"/>
                    </a:solidFill>
                    <a:latin typeface="Times New Roman" pitchFamily="18" charset="0"/>
                    <a:cs typeface="Times New Roman" pitchFamily="18" charset="0"/>
                  </a:rPr>
                  <a:t>C (µg EAG/mL)</a:t>
                </a:r>
              </a:p>
            </c:rich>
          </c:tx>
          <c:layout>
            <c:manualLayout>
              <c:xMode val="edge"/>
              <c:yMode val="edge"/>
              <c:x val="0.77232730450066411"/>
              <c:y val="0.74449513500297293"/>
            </c:manualLayout>
          </c:layout>
          <c:spPr>
            <a:noFill/>
            <a:ln>
              <a:noFill/>
            </a:ln>
            <a:effectLst/>
          </c:spPr>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156967296"/>
        <c:crosses val="autoZero"/>
        <c:crossBetween val="midCat"/>
      </c:valAx>
      <c:valAx>
        <c:axId val="156967296"/>
        <c:scaling>
          <c:orientation val="minMax"/>
        </c:scaling>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r>
                  <a:rPr lang="fr-FR" sz="800">
                    <a:solidFill>
                      <a:sysClr val="windowText" lastClr="000000"/>
                    </a:solidFill>
                    <a:latin typeface="Times New Roman" pitchFamily="18" charset="0"/>
                    <a:cs typeface="Times New Roman" pitchFamily="18" charset="0"/>
                  </a:rPr>
                  <a:t>AA (%)</a:t>
                </a:r>
              </a:p>
            </c:rich>
          </c:tx>
          <c:layout>
            <c:manualLayout>
              <c:xMode val="edge"/>
              <c:yMode val="edge"/>
              <c:x val="0.11494012809802283"/>
              <c:y val="3.3480034788090342E-2"/>
            </c:manualLayout>
          </c:layout>
          <c:spPr>
            <a:noFill/>
            <a:ln>
              <a:noFill/>
            </a:ln>
            <a:effectLst/>
          </c:spPr>
        </c:title>
        <c:numFmt formatCode="0%" sourceLinked="0"/>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5017088"/>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290267933375798"/>
          <c:y val="7.1215649038097309E-2"/>
          <c:w val="0.79752226001870252"/>
          <c:h val="0.76809382149874006"/>
        </c:manualLayout>
      </c:layout>
      <c:scatterChart>
        <c:scatterStyle val="lineMarker"/>
        <c:ser>
          <c:idx val="0"/>
          <c:order val="0"/>
          <c:spPr>
            <a:ln w="19050">
              <a:noFill/>
            </a:ln>
          </c:spPr>
          <c:trendline>
            <c:trendlineType val="linear"/>
            <c:forward val="2"/>
            <c:dispRSqr val="1"/>
            <c:dispEq val="1"/>
            <c:trendlineLbl>
              <c:layout>
                <c:manualLayout>
                  <c:x val="-3.9288276465441835E-2"/>
                  <c:y val="9.5589457567804043E-2"/>
                </c:manualLayout>
              </c:layout>
              <c:numFmt formatCode="General" sourceLinked="0"/>
            </c:trendlineLbl>
          </c:trendline>
          <c:xVal>
            <c:numRef>
              <c:f>Feuil1!$B$11:$F$11</c:f>
              <c:numCache>
                <c:formatCode>General</c:formatCode>
                <c:ptCount val="5"/>
                <c:pt idx="0">
                  <c:v>5.33</c:v>
                </c:pt>
                <c:pt idx="1">
                  <c:v>17.670000000000005</c:v>
                </c:pt>
                <c:pt idx="2">
                  <c:v>22</c:v>
                </c:pt>
                <c:pt idx="3">
                  <c:v>30</c:v>
                </c:pt>
              </c:numCache>
            </c:numRef>
          </c:xVal>
          <c:yVal>
            <c:numRef>
              <c:f>Feuil1!$B$12:$F$12</c:f>
              <c:numCache>
                <c:formatCode>General</c:formatCode>
                <c:ptCount val="5"/>
                <c:pt idx="0">
                  <c:v>106.34</c:v>
                </c:pt>
                <c:pt idx="1">
                  <c:v>70.790000000000006</c:v>
                </c:pt>
                <c:pt idx="2">
                  <c:v>64.319999999999993</c:v>
                </c:pt>
                <c:pt idx="3">
                  <c:v>51.25</c:v>
                </c:pt>
              </c:numCache>
            </c:numRef>
          </c:yVal>
        </c:ser>
        <c:axId val="92205824"/>
        <c:axId val="92207360"/>
      </c:scatterChart>
      <c:valAx>
        <c:axId val="92205824"/>
        <c:scaling>
          <c:orientation val="minMax"/>
        </c:scaling>
        <c:axPos val="b"/>
        <c:numFmt formatCode="General" sourceLinked="1"/>
        <c:tickLblPos val="nextTo"/>
        <c:crossAx val="92207360"/>
        <c:crosses val="autoZero"/>
        <c:crossBetween val="midCat"/>
      </c:valAx>
      <c:valAx>
        <c:axId val="92207360"/>
        <c:scaling>
          <c:orientation val="minMax"/>
        </c:scaling>
        <c:axPos val="l"/>
        <c:numFmt formatCode="General" sourceLinked="1"/>
        <c:tickLblPos val="nextTo"/>
        <c:crossAx val="92205824"/>
        <c:crosses val="autoZero"/>
        <c:crossBetween val="midCat"/>
      </c:valAx>
    </c:plotArea>
    <c:plotVisOnly val="1"/>
    <c:dispBlanksAs val="gap"/>
  </c:chart>
  <c:txPr>
    <a:bodyPr/>
    <a:lstStyle/>
    <a:p>
      <a:pPr>
        <a:defRPr sz="800">
          <a:latin typeface="Times New Roman" pitchFamily="18" charset="0"/>
          <a:cs typeface="Times New Roman" pitchFamily="18" charset="0"/>
        </a:defRPr>
      </a:pPr>
      <a:endParaRPr lang="fr-FR"/>
    </a:p>
  </c:txPr>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0.109</cdr:x>
      <cdr:y>0</cdr:y>
    </cdr:from>
    <cdr:to>
      <cdr:x>0.18129</cdr:x>
      <cdr:y>0.38182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16462" y="205238"/>
          <a:ext cx="623839" cy="213363"/>
        </a:xfrm>
        <a:prstGeom xmlns:a="http://schemas.openxmlformats.org/drawingml/2006/main" prst="rect">
          <a:avLst/>
        </a:prstGeom>
      </cdr:spPr>
    </cdr:pic>
  </cdr:relSizeAnchor>
  <cdr:relSizeAnchor xmlns:cdr="http://schemas.openxmlformats.org/drawingml/2006/chartDrawing">
    <cdr:from>
      <cdr:x>0.64402</cdr:x>
      <cdr:y>0.76807</cdr:y>
    </cdr:from>
    <cdr:to>
      <cdr:x>0.96625</cdr:x>
      <cdr:y>0.87584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00809" y="1254910"/>
          <a:ext cx="951055" cy="176080"/>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4</Pages>
  <Words>2880</Words>
  <Characters>15846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derriche</dc:creator>
  <cp:lastModifiedBy>Ahmed</cp:lastModifiedBy>
  <cp:revision>26</cp:revision>
  <dcterms:created xsi:type="dcterms:W3CDTF">2015-06-25T23:03:00Z</dcterms:created>
  <dcterms:modified xsi:type="dcterms:W3CDTF">2016-03-31T09:25:00Z</dcterms:modified>
</cp:coreProperties>
</file>